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MECO Articles of Organization Template</w:t>
      </w:r>
    </w:p>
    <w:p>
      <w:pPr>
        <w:spacing w:line="360" w:before="315" w:after="105" w:lineRule="auto"/>
        <w:ind w:left="-30"/>
        <w:jc w:val="left"/>
      </w:pPr>
      <w:r>
        <w:rPr>
          <w:rFonts w:eastAsia="inter" w:cs="inter" w:ascii="inter" w:hAnsi="inter"/>
          <w:b/>
          <w:color w:val="000000"/>
          <w:sz w:val="24"/>
        </w:rPr>
        <w:t xml:space="preserve">Wyoming DAO LLC for Multi-Member Management with Multisig Governance</w:t>
      </w:r>
    </w:p>
    <w:p>
      <w:pPr>
        <w:spacing w:line="360" w:before="315" w:after="105" w:lineRule="auto"/>
        <w:ind w:left="-30"/>
        <w:jc w:val="left"/>
      </w:pPr>
      <w:r>
        <w:rPr>
          <w:rFonts w:eastAsia="inter" w:cs="inter" w:ascii="inter" w:hAnsi="inter"/>
          <w:b/>
          <w:color w:val="000000"/>
          <w:sz w:val="24"/>
        </w:rPr>
        <w:t xml:space="preserve">For Class B MECO Entity Members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ARTICLES OF ORGANIZATION</w:t>
      </w:r>
      <w:r>
        <w:rPr>
          <w:rFonts w:eastAsia="inter" w:cs="inter" w:ascii="inter" w:hAnsi="inter"/>
          <w:color w:val="000000"/>
        </w:rPr>
        <w:br w:type="textWrapping"/>
      </w:r>
      <w:r>
        <w:rPr>
          <w:rFonts w:eastAsia="inter" w:cs="inter" w:ascii="inter" w:hAnsi="inter"/>
          <w:b/>
          <w:color w:val="000000"/>
        </w:rPr>
        <w:t xml:space="preserve">DECENTRALIZED AUTONOMOUS ORGANIZATION LIMITED LIABILITY COMPANY</w:t>
      </w:r>
    </w:p>
    <w:p>
      <w:pPr>
        <w:spacing w:line="360" w:after="210" w:lineRule="auto"/>
      </w:pPr>
      <w:r>
        <w:rPr>
          <w:rFonts w:eastAsia="inter" w:cs="inter" w:ascii="inter" w:hAnsi="inter"/>
          <w:b/>
          <w:color w:val="000000"/>
        </w:rPr>
        <w:t xml:space="preserve">PURSUANT TO TITLE 17, CHAPTER 29 OF THE WYOMING STATUTES</w:t>
      </w:r>
      <w:r>
        <w:rPr>
          <w:rFonts w:eastAsia="inter" w:cs="inter" w:ascii="inter" w:hAnsi="inter"/>
          <w:color w:val="000000"/>
        </w:rPr>
        <w:br w:type="textWrapping"/>
      </w:r>
      <w:r>
        <w:rPr>
          <w:rFonts w:eastAsia="inter" w:cs="inter" w:ascii="inter" w:hAnsi="inter"/>
          <w:b/>
          <w:color w:val="000000"/>
        </w:rPr>
        <w:t xml:space="preserve">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w:t>
      </w:r>
    </w:p>
    <w:p>
      <w:pPr>
        <w:spacing w:line="360" w:after="210" w:lineRule="auto"/>
      </w:pPr>
      <w:r>
        <w:rPr>
          <w:rFonts w:eastAsia="inter" w:cs="inter" w:ascii="inter" w:hAnsi="inter"/>
          <w:b/>
          <w:color w:val="000000"/>
        </w:rPr>
        <w:t xml:space="preserve">"[MECO Business Name] DAO LLC"</w:t>
      </w:r>
    </w:p>
    <w:p>
      <w:pPr>
        <w:spacing w:line="360" w:after="210" w:lineRule="auto"/>
      </w:pPr>
      <w:r>
        <w:rPr>
          <w:rFonts w:eastAsia="inter" w:cs="inter" w:ascii="inter" w:hAnsi="inter"/>
          <w:i/>
          <w:color w:val="000000"/>
        </w:rPr>
        <w:t xml:space="preserve">Example: "BlockChain Infrastructure Solutions MECO DAO LLC" or "Sovereign Identity Services MECO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and </w:t>
      </w:r>
      <w:r>
        <w:rPr>
          <w:rFonts w:eastAsia="inter" w:cs="inter" w:ascii="inter" w:hAnsi="inter"/>
          <w:b/>
          <w:color w:val="000000"/>
        </w:rPr>
        <w:t xml:space="preserve">Member Entity Company (MECO)</w:t>
      </w:r>
      <w:r>
        <w:rPr>
          <w:rFonts w:eastAsia="inter" w:cs="inter" w:ascii="inter" w:hAnsi="inter"/>
          <w:color w:val="000000"/>
        </w:rPr>
        <w:t xml:space="preserve"> as defined under Title 17, Chapter 31 of the Wyoming Statutes (Wyoming Decentralized Autonomous Organization Supplement) and the C3 Alliance operational framework.</w:t>
      </w:r>
    </w:p>
    <w:p>
      <w:pPr>
        <w:spacing w:line="360" w:before="315" w:after="105" w:lineRule="auto"/>
        <w:ind w:left="-30"/>
        <w:jc w:val="left"/>
      </w:pPr>
      <w:r>
        <w:rPr>
          <w:rFonts w:eastAsia="inter" w:cs="inter" w:ascii="inter" w:hAnsi="inter"/>
          <w:b/>
          <w:color w:val="000000"/>
          <w:sz w:val="24"/>
        </w:rPr>
        <w:t xml:space="preserve">1.3 Registered Agent and Office</w:t>
      </w:r>
    </w:p>
    <w:p>
      <w:pPr>
        <w:spacing w:line="360" w:after="210" w:lineRule="auto"/>
      </w:pPr>
      <w:r>
        <w:rPr>
          <w:rFonts w:eastAsia="inter" w:cs="inter" w:ascii="inter" w:hAnsi="inter"/>
          <w:b/>
          <w:color w:val="000000"/>
        </w:rPr>
        <w:t xml:space="preserve">Registered Agent Name:</w:t>
      </w:r>
      <w:r>
        <w:rPr>
          <w:rFonts w:eastAsia="inter" w:cs="inter" w:ascii="inter" w:hAnsi="inter"/>
          <w:color w:val="000000"/>
        </w:rPr>
        <w:t xml:space="preserve"> [Name of Wyoming Registered Agent]</w:t>
      </w:r>
      <w:r>
        <w:rPr>
          <w:rFonts w:eastAsia="inter" w:cs="inter" w:ascii="inter" w:hAnsi="inter"/>
          <w:color w:val="000000"/>
        </w:rPr>
        <w:br w:type="textWrapping"/>
      </w:r>
      <w:r>
        <w:rPr>
          <w:rFonts w:eastAsia="inter" w:cs="inter" w:ascii="inter" w:hAnsi="inter"/>
          <w:b/>
          <w:color w:val="000000"/>
        </w:rPr>
        <w:t xml:space="preserve">Registered Office Address:</w:t>
      </w:r>
      <w:r>
        <w:rPr>
          <w:rFonts w:eastAsia="inter" w:cs="inter" w:ascii="inter" w:hAnsi="inter"/>
          <w:color w:val="000000"/>
        </w:rPr>
        <w:t xml:space="preserve"> [Physical Address in Wyoming]</w:t>
      </w:r>
      <w:r>
        <w:rPr>
          <w:rFonts w:eastAsia="inter" w:cs="inter" w:ascii="inter" w:hAnsi="inter"/>
          <w:color w:val="000000"/>
        </w:rPr>
        <w:br w:type="textWrapping"/>
      </w:r>
      <w:r>
        <w:rPr>
          <w:rFonts w:eastAsia="inter" w:cs="inter" w:ascii="inter" w:hAnsi="inter"/>
          <w:b/>
          <w:color w:val="000000"/>
        </w:rPr>
        <w:t xml:space="preserve">City, State, ZIP:</w:t>
      </w:r>
      <w:r>
        <w:rPr>
          <w:rFonts w:eastAsia="inter" w:cs="inter" w:ascii="inter" w:hAnsi="inter"/>
          <w:color w:val="000000"/>
        </w:rPr>
        <w:t xml:space="preserve">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spacing w:line="360" w:after="210" w:lineRule="auto"/>
      </w:pPr>
      <w:r>
        <w:rPr>
          <w:rFonts w:eastAsia="inter" w:cs="inter" w:ascii="inter" w:hAnsi="inter"/>
          <w:b/>
          <w:color w:val="000000"/>
        </w:rPr>
        <w:t xml:space="preserve">Principal Office Address:</w:t>
      </w:r>
      <w:r>
        <w:rPr>
          <w:rFonts w:eastAsia="inter" w:cs="inter" w:ascii="inter" w:hAnsi="inter"/>
          <w:color w:val="000000"/>
        </w:rPr>
        <w:t xml:space="preserve"> [Physical Address of MECO Operations]</w:t>
      </w:r>
      <w:r>
        <w:rPr>
          <w:rFonts w:eastAsia="inter" w:cs="inter" w:ascii="inter" w:hAnsi="inter"/>
          <w:color w:val="000000"/>
        </w:rPr>
        <w:br w:type="textWrapping"/>
      </w:r>
      <w:r>
        <w:rPr>
          <w:rFonts w:eastAsia="inter" w:cs="inter" w:ascii="inter" w:hAnsi="inter"/>
          <w:b/>
          <w:color w:val="000000"/>
        </w:rPr>
        <w:t xml:space="preserve">Mailing Address:</w:t>
      </w:r>
      <w:r>
        <w:rPr>
          <w:rFonts w:eastAsia="inter" w:cs="inter" w:ascii="inter" w:hAnsi="inter"/>
          <w:color w:val="000000"/>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MECO PURPOSE AND BUSINESS ACTIVITIES</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Member Entity Company (MECO)</w:t>
      </w:r>
      <w:r>
        <w:rPr>
          <w:rFonts w:eastAsia="inter" w:cs="inter" w:ascii="inter" w:hAnsi="inter"/>
          <w:color w:val="000000"/>
        </w:rPr>
        <w:t xml:space="preserve"> providing professional services to Constitutional Cooperative Communities (C3s) and the broader C3 Alliance ecosystem, with governance through multi-member management and multisig wallet infrastructure.</w:t>
      </w:r>
    </w:p>
    <w:p>
      <w:pPr>
        <w:spacing w:line="360" w:before="315" w:after="105" w:lineRule="auto"/>
        <w:ind w:left="-30"/>
        <w:jc w:val="left"/>
      </w:pPr>
      <w:r>
        <w:rPr>
          <w:rFonts w:eastAsia="inter" w:cs="inter" w:ascii="inter" w:hAnsi="inter"/>
          <w:b/>
          <w:color w:val="000000"/>
          <w:sz w:val="24"/>
        </w:rPr>
        <w:t xml:space="preserve">2.2 Specific Business Activities</w:t>
      </w:r>
    </w:p>
    <w:p>
      <w:pPr>
        <w:spacing w:line="360" w:after="210" w:lineRule="auto"/>
      </w:pPr>
      <w:r>
        <w:rPr>
          <w:rFonts w:eastAsia="inter" w:cs="inter" w:ascii="inter" w:hAnsi="inter"/>
          <w:color w:val="000000"/>
        </w:rPr>
        <w:t xml:space="preserve">The MECO is authorized to engage in any lawful business activity, including but not limited to:</w:t>
      </w:r>
    </w:p>
    <w:p>
      <w:pPr>
        <w:numPr>
          <w:ilvl w:val="0"/>
          <w:numId w:val="1"/>
        </w:numPr>
        <w:spacing w:line="360" w:before="105" w:after="105" w:lineRule="auto"/>
      </w:pPr>
      <w:r>
        <w:rPr>
          <w:rFonts w:eastAsia="inter" w:cs="inter" w:ascii="inter" w:hAnsi="inter"/>
          <w:b/>
          <w:color w:val="000000"/>
          <w:sz w:val="21"/>
        </w:rPr>
        <w:t xml:space="preserve">Impact Offer Service Delivery</w:t>
      </w:r>
      <w:r>
        <w:rPr>
          <w:rFonts w:eastAsia="inter" w:cs="inter" w:ascii="inter" w:hAnsi="inter"/>
          <w:color w:val="000000"/>
          <w:sz w:val="21"/>
        </w:rPr>
        <w:t xml:space="preserve">: Bidding on and completing Impact Offers (IOs) posted by C3 communities through the CapX marketplace</w:t>
      </w:r>
    </w:p>
    <w:p>
      <w:pPr>
        <w:numPr>
          <w:ilvl w:val="0"/>
          <w:numId w:val="1"/>
        </w:numPr>
        <w:spacing w:line="360" w:before="105" w:after="105" w:lineRule="auto"/>
      </w:pPr>
      <w:r>
        <w:rPr>
          <w:rFonts w:eastAsia="inter" w:cs="inter" w:ascii="inter" w:hAnsi="inter"/>
          <w:b/>
          <w:color w:val="000000"/>
          <w:sz w:val="21"/>
        </w:rPr>
        <w:t xml:space="preserve">Infrastructure Development</w:t>
      </w:r>
      <w:r>
        <w:rPr>
          <w:rFonts w:eastAsia="inter" w:cs="inter" w:ascii="inter" w:hAnsi="inter"/>
          <w:color w:val="000000"/>
          <w:sz w:val="21"/>
        </w:rPr>
        <w:t xml:space="preserve">: Providing technology, software development, systems administration, and technical consulting services</w:t>
      </w:r>
    </w:p>
    <w:p>
      <w:pPr>
        <w:numPr>
          <w:ilvl w:val="0"/>
          <w:numId w:val="1"/>
        </w:numPr>
        <w:spacing w:line="360" w:before="105" w:after="105" w:lineRule="auto"/>
      </w:pPr>
      <w:r>
        <w:rPr>
          <w:rFonts w:eastAsia="inter" w:cs="inter" w:ascii="inter" w:hAnsi="inter"/>
          <w:b/>
          <w:color w:val="000000"/>
          <w:sz w:val="21"/>
        </w:rPr>
        <w:t xml:space="preserve">Professional Services</w:t>
      </w:r>
      <w:r>
        <w:rPr>
          <w:rFonts w:eastAsia="inter" w:cs="inter" w:ascii="inter" w:hAnsi="inter"/>
          <w:color w:val="000000"/>
          <w:sz w:val="21"/>
        </w:rPr>
        <w:t xml:space="preserve">: Offering specialized expertise in areas such as legal compliance, financial management, marketing, education, and community development</w:t>
      </w:r>
    </w:p>
    <w:p>
      <w:pPr>
        <w:numPr>
          <w:ilvl w:val="0"/>
          <w:numId w:val="1"/>
        </w:numPr>
        <w:spacing w:line="360" w:before="105" w:after="105" w:lineRule="auto"/>
      </w:pPr>
      <w:r>
        <w:rPr>
          <w:rFonts w:eastAsia="inter" w:cs="inter" w:ascii="inter" w:hAnsi="inter"/>
          <w:b/>
          <w:color w:val="000000"/>
          <w:sz w:val="21"/>
        </w:rPr>
        <w:t xml:space="preserve">Multi-C3 Operations</w:t>
      </w:r>
      <w:r>
        <w:rPr>
          <w:rFonts w:eastAsia="inter" w:cs="inter" w:ascii="inter" w:hAnsi="inter"/>
          <w:color w:val="000000"/>
          <w:sz w:val="21"/>
        </w:rPr>
        <w:t xml:space="preserve">: Delivering services across multiple C3 communities within the Alliance ecosystem</w:t>
      </w:r>
    </w:p>
    <w:p>
      <w:pPr>
        <w:numPr>
          <w:ilvl w:val="0"/>
          <w:numId w:val="1"/>
        </w:numPr>
        <w:spacing w:line="360" w:before="105" w:after="105"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Developing new technologies, methodologies, and best practices for cooperative blockchain governance</w:t>
      </w:r>
    </w:p>
    <w:p>
      <w:pPr>
        <w:numPr>
          <w:ilvl w:val="0"/>
          <w:numId w:val="1"/>
        </w:numPr>
        <w:spacing w:line="360" w:before="105" w:after="105" w:lineRule="auto"/>
      </w:pPr>
      <w:r>
        <w:rPr>
          <w:rFonts w:eastAsia="inter" w:cs="inter" w:ascii="inter" w:hAnsi="inter"/>
          <w:b/>
          <w:color w:val="000000"/>
          <w:sz w:val="21"/>
        </w:rPr>
        <w:t xml:space="preserve">Strategic Partnerships</w:t>
      </w:r>
      <w:r>
        <w:rPr>
          <w:rFonts w:eastAsia="inter" w:cs="inter" w:ascii="inter" w:hAnsi="inter"/>
          <w:color w:val="000000"/>
          <w:sz w:val="21"/>
        </w:rPr>
        <w:t xml:space="preserve">: Forming alliances with external organizations to enhance C3 Alliance capabilities and market reach</w:t>
      </w:r>
    </w:p>
    <w:p>
      <w:pPr>
        <w:spacing w:line="360" w:before="315" w:after="105" w:lineRule="auto"/>
        <w:ind w:left="-30"/>
        <w:jc w:val="left"/>
      </w:pPr>
      <w:r>
        <w:rPr>
          <w:rFonts w:eastAsia="inter" w:cs="inter" w:ascii="inter" w:hAnsi="inter"/>
          <w:b/>
          <w:color w:val="000000"/>
          <w:sz w:val="24"/>
        </w:rPr>
        <w:t xml:space="preserve">2.3 Cooperative Integration</w:t>
      </w:r>
    </w:p>
    <w:p>
      <w:pPr>
        <w:spacing w:line="360" w:after="210" w:lineRule="auto"/>
      </w:pPr>
      <w:r>
        <w:rPr>
          <w:rFonts w:eastAsia="inter" w:cs="inter" w:ascii="inter" w:hAnsi="inter"/>
          <w:color w:val="000000"/>
        </w:rPr>
        <w:t xml:space="preserve">This MECO operates within the C3 Alliance cooperative ecosystem according to the following principles:</w:t>
      </w:r>
    </w:p>
    <w:p>
      <w:pPr>
        <w:numPr>
          <w:ilvl w:val="0"/>
          <w:numId w:val="2"/>
        </w:numPr>
        <w:spacing w:line="360" w:before="105" w:after="105" w:lineRule="auto"/>
      </w:pPr>
      <w:r>
        <w:rPr>
          <w:rFonts w:eastAsia="inter" w:cs="inter" w:ascii="inter" w:hAnsi="inter"/>
          <w:b/>
          <w:color w:val="000000"/>
          <w:sz w:val="21"/>
        </w:rPr>
        <w:t xml:space="preserve">Service-Oriented</w:t>
      </w:r>
      <w:r>
        <w:rPr>
          <w:rFonts w:eastAsia="inter" w:cs="inter" w:ascii="inter" w:hAnsi="inter"/>
          <w:color w:val="000000"/>
          <w:sz w:val="21"/>
        </w:rPr>
        <w:t xml:space="preserve">: Primary focus on delivering value to C3 communities and members rather than profit maximization</w:t>
      </w:r>
    </w:p>
    <w:p>
      <w:pPr>
        <w:numPr>
          <w:ilvl w:val="0"/>
          <w:numId w:val="2"/>
        </w:numPr>
        <w:spacing w:line="360" w:before="105" w:after="105" w:lineRule="auto"/>
      </w:pPr>
      <w:r>
        <w:rPr>
          <w:rFonts w:eastAsia="inter" w:cs="inter" w:ascii="inter" w:hAnsi="inter"/>
          <w:b/>
          <w:color w:val="000000"/>
          <w:sz w:val="21"/>
        </w:rPr>
        <w:t xml:space="preserve">Democratic Participation</w:t>
      </w:r>
      <w:r>
        <w:rPr>
          <w:rFonts w:eastAsia="inter" w:cs="inter" w:ascii="inter" w:hAnsi="inter"/>
          <w:color w:val="000000"/>
          <w:sz w:val="21"/>
        </w:rPr>
        <w:t xml:space="preserve">: Engagement with democratic processes for Impact Quest approval and Impact Offer selection</w:t>
      </w:r>
    </w:p>
    <w:p>
      <w:pPr>
        <w:numPr>
          <w:ilvl w:val="0"/>
          <w:numId w:val="2"/>
        </w:numPr>
        <w:spacing w:line="360" w:before="105" w:after="105" w:lineRule="auto"/>
      </w:pPr>
      <w:r>
        <w:rPr>
          <w:rFonts w:eastAsia="inter" w:cs="inter" w:ascii="inter" w:hAnsi="inter"/>
          <w:b/>
          <w:color w:val="000000"/>
          <w:sz w:val="21"/>
        </w:rPr>
        <w:t xml:space="preserve">Transparent Operations</w:t>
      </w:r>
      <w:r>
        <w:rPr>
          <w:rFonts w:eastAsia="inter" w:cs="inter" w:ascii="inter" w:hAnsi="inter"/>
          <w:color w:val="000000"/>
          <w:sz w:val="21"/>
        </w:rPr>
        <w:t xml:space="preserve">: Open-book approach to pricing, quality metrics, and community impact assessment</w:t>
      </w:r>
    </w:p>
    <w:p>
      <w:pPr>
        <w:numPr>
          <w:ilvl w:val="0"/>
          <w:numId w:val="2"/>
        </w:numPr>
        <w:spacing w:line="360" w:before="105" w:after="105" w:lineRule="auto"/>
      </w:pPr>
      <w:r>
        <w:rPr>
          <w:rFonts w:eastAsia="inter" w:cs="inter" w:ascii="inter" w:hAnsi="inter"/>
          <w:b/>
          <w:color w:val="000000"/>
          <w:sz w:val="21"/>
        </w:rPr>
        <w:t xml:space="preserve">Knowledge Sharing</w:t>
      </w:r>
      <w:r>
        <w:rPr>
          <w:rFonts w:eastAsia="inter" w:cs="inter" w:ascii="inter" w:hAnsi="inter"/>
          <w:color w:val="000000"/>
          <w:sz w:val="21"/>
        </w:rPr>
        <w:t xml:space="preserve">: Contribution to C3 Alliance knowledge commons and best practice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MULTI-MEMBER MANAGEMENT STRUCTURE</w:t>
      </w:r>
    </w:p>
    <w:p>
      <w:pPr>
        <w:spacing w:line="360" w:before="315" w:after="105" w:lineRule="auto"/>
        <w:ind w:left="-30"/>
        <w:jc w:val="left"/>
      </w:pPr>
      <w:r>
        <w:rPr>
          <w:rFonts w:eastAsia="inter" w:cs="inter" w:ascii="inter" w:hAnsi="inter"/>
          <w:b/>
          <w:color w:val="000000"/>
          <w:sz w:val="24"/>
        </w:rPr>
        <w:t xml:space="preserve">3.1 Multi-Member Management Election</w:t>
      </w:r>
    </w:p>
    <w:p>
      <w:pPr>
        <w:spacing w:line="360" w:after="210" w:lineRule="auto"/>
      </w:pPr>
      <w:r>
        <w:rPr>
          <w:rFonts w:eastAsia="inter" w:cs="inter" w:ascii="inter" w:hAnsi="inter"/>
          <w:color w:val="000000"/>
        </w:rPr>
        <w:t xml:space="preserve">This DAO LLC is </w:t>
      </w:r>
      <w:r>
        <w:rPr>
          <w:rFonts w:eastAsia="inter" w:cs="inter" w:ascii="inter" w:hAnsi="inter"/>
          <w:b/>
          <w:color w:val="000000"/>
        </w:rPr>
        <w:t xml:space="preserve">multi-member managed</w:t>
      </w:r>
      <w:r>
        <w:rPr>
          <w:rFonts w:eastAsia="inter" w:cs="inter" w:ascii="inter" w:hAnsi="inter"/>
          <w:color w:val="000000"/>
        </w:rPr>
        <w:t xml:space="preserve"> with governance authority vested in the founding members holding verified MEIDs (Member Entity Identifiers) and operating through multisig wallet infrastructure.</w:t>
      </w:r>
    </w:p>
    <w:p>
      <w:pPr>
        <w:spacing w:line="360" w:before="315" w:after="105" w:lineRule="auto"/>
        <w:ind w:left="-30"/>
        <w:jc w:val="left"/>
      </w:pPr>
      <w:r>
        <w:rPr>
          <w:rFonts w:eastAsia="inter" w:cs="inter" w:ascii="inter" w:hAnsi="inter"/>
          <w:b/>
          <w:color w:val="000000"/>
          <w:sz w:val="24"/>
        </w:rPr>
        <w:t xml:space="preserve">3.2 Founding Member Requirements</w:t>
      </w:r>
    </w:p>
    <w:p>
      <w:pPr>
        <w:spacing w:line="360" w:after="210" w:lineRule="auto"/>
      </w:pPr>
      <w:r>
        <w:rPr>
          <w:rFonts w:eastAsia="inter" w:cs="inter" w:ascii="inter" w:hAnsi="inter"/>
          <w:b/>
          <w:color w:val="000000"/>
        </w:rPr>
        <w:t xml:space="preserve">Minimum Founding Members:</w:t>
      </w:r>
      <w:r>
        <w:rPr>
          <w:rFonts w:eastAsia="inter" w:cs="inter" w:ascii="inter" w:hAnsi="inter"/>
          <w:color w:val="000000"/>
        </w:rPr>
        <w:t xml:space="preserve"> [Number] verified MEID holders</w:t>
      </w:r>
      <w:r>
        <w:rPr>
          <w:rFonts w:eastAsia="inter" w:cs="inter" w:ascii="inter" w:hAnsi="inter"/>
          <w:color w:val="000000"/>
        </w:rPr>
        <w:br w:type="textWrapping"/>
      </w:r>
      <w:r>
        <w:rPr>
          <w:rFonts w:eastAsia="inter" w:cs="inter" w:ascii="inter" w:hAnsi="inter"/>
          <w:b/>
          <w:color w:val="000000"/>
        </w:rPr>
        <w:t xml:space="preserve">Maximum Founding Members:</w:t>
      </w:r>
      <w:r>
        <w:rPr>
          <w:rFonts w:eastAsia="inter" w:cs="inter" w:ascii="inter" w:hAnsi="inter"/>
          <w:color w:val="000000"/>
        </w:rPr>
        <w:t xml:space="preserve"> [Number] verified MEID holders</w:t>
      </w:r>
    </w:p>
    <w:p>
      <w:pPr>
        <w:spacing w:line="360" w:after="210" w:lineRule="auto"/>
      </w:pPr>
      <w:r>
        <w:rPr>
          <w:rFonts w:eastAsia="inter" w:cs="inter" w:ascii="inter" w:hAnsi="inter"/>
          <w:color w:val="000000"/>
        </w:rPr>
        <w:t xml:space="preserve">Each founding member must:</w:t>
      </w:r>
    </w:p>
    <w:p>
      <w:pPr>
        <w:numPr>
          <w:ilvl w:val="0"/>
          <w:numId w:val="3"/>
        </w:numPr>
        <w:spacing w:line="360" w:before="105" w:after="105" w:lineRule="auto"/>
      </w:pPr>
      <w:r>
        <w:rPr>
          <w:rFonts w:eastAsia="inter" w:cs="inter" w:ascii="inter" w:hAnsi="inter"/>
          <w:b/>
          <w:color w:val="000000"/>
          <w:sz w:val="21"/>
        </w:rPr>
        <w:t xml:space="preserve">Hold Valid MEID</w:t>
      </w:r>
      <w:r>
        <w:rPr>
          <w:rFonts w:eastAsia="inter" w:cs="inter" w:ascii="inter" w:hAnsi="inter"/>
          <w:color w:val="000000"/>
          <w:sz w:val="21"/>
        </w:rPr>
        <w:t xml:space="preserve">: Verified Member Entity Identifier within the C3 Alliance ecosystem</w:t>
      </w:r>
    </w:p>
    <w:p>
      <w:pPr>
        <w:numPr>
          <w:ilvl w:val="0"/>
          <w:numId w:val="3"/>
        </w:numPr>
        <w:spacing w:line="360" w:before="105" w:after="105" w:lineRule="auto"/>
      </w:pPr>
      <w:r>
        <w:rPr>
          <w:rFonts w:eastAsia="inter" w:cs="inter" w:ascii="inter" w:hAnsi="inter"/>
          <w:b/>
          <w:color w:val="000000"/>
          <w:sz w:val="21"/>
        </w:rPr>
        <w:t xml:space="preserve">C3 Membership</w:t>
      </w:r>
      <w:r>
        <w:rPr>
          <w:rFonts w:eastAsia="inter" w:cs="inter" w:ascii="inter" w:hAnsi="inter"/>
          <w:color w:val="000000"/>
          <w:sz w:val="21"/>
        </w:rPr>
        <w:t xml:space="preserve">: Active membership in at least one C3 community in good standing</w:t>
      </w:r>
    </w:p>
    <w:p>
      <w:pPr>
        <w:numPr>
          <w:ilvl w:val="0"/>
          <w:numId w:val="3"/>
        </w:numPr>
        <w:spacing w:line="360" w:before="105" w:after="105" w:lineRule="auto"/>
      </w:pPr>
      <w:r>
        <w:rPr>
          <w:rFonts w:eastAsia="inter" w:cs="inter" w:ascii="inter" w:hAnsi="inter"/>
          <w:b/>
          <w:color w:val="000000"/>
          <w:sz w:val="21"/>
        </w:rPr>
        <w:t xml:space="preserve">Enhanced KYC/AML</w:t>
      </w:r>
      <w:r>
        <w:rPr>
          <w:rFonts w:eastAsia="inter" w:cs="inter" w:ascii="inter" w:hAnsi="inter"/>
          <w:color w:val="000000"/>
          <w:sz w:val="21"/>
        </w:rPr>
        <w:t xml:space="preserve">: Completed business entity formation verification through Hyperledger Identus</w:t>
      </w:r>
    </w:p>
    <w:p>
      <w:pPr>
        <w:numPr>
          <w:ilvl w:val="0"/>
          <w:numId w:val="3"/>
        </w:numPr>
        <w:spacing w:line="360" w:before="105" w:after="105" w:lineRule="auto"/>
      </w:pPr>
      <w:r>
        <w:rPr>
          <w:rFonts w:eastAsia="inter" w:cs="inter" w:ascii="inter" w:hAnsi="inter"/>
          <w:b/>
          <w:color w:val="000000"/>
          <w:sz w:val="21"/>
        </w:rPr>
        <w:t xml:space="preserve">Multisig Participation</w:t>
      </w:r>
      <w:r>
        <w:rPr>
          <w:rFonts w:eastAsia="inter" w:cs="inter" w:ascii="inter" w:hAnsi="inter"/>
          <w:color w:val="000000"/>
          <w:sz w:val="21"/>
        </w:rPr>
        <w:t xml:space="preserve">: Ability to serve as cryptographic key holder for multisig wallet governance</w:t>
      </w:r>
    </w:p>
    <w:p>
      <w:pPr>
        <w:numPr>
          <w:ilvl w:val="0"/>
          <w:numId w:val="3"/>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MECO's intended service delivery areas</w:t>
      </w:r>
    </w:p>
    <w:p>
      <w:pPr>
        <w:spacing w:line="360" w:before="315" w:after="105" w:lineRule="auto"/>
        <w:ind w:left="-30"/>
        <w:jc w:val="left"/>
      </w:pPr>
      <w:r>
        <w:rPr>
          <w:rFonts w:eastAsia="inter" w:cs="inter" w:ascii="inter" w:hAnsi="inter"/>
          <w:b/>
          <w:color w:val="000000"/>
          <w:sz w:val="24"/>
        </w:rPr>
        <w:t xml:space="preserve">3.3 Founding Member Information</w:t>
      </w:r>
    </w:p>
    <w:p>
      <w:pPr>
        <w:spacing w:line="360" w:after="210" w:lineRule="auto"/>
      </w:pPr>
      <w:r>
        <w:rPr>
          <w:rFonts w:eastAsia="inter" w:cs="inter" w:ascii="inter" w:hAnsi="inter"/>
          <w:b/>
          <w:color w:val="000000"/>
        </w:rPr>
        <w:t xml:space="preserve">Founding Member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C3 Affiliation: [Primary C3 Community]</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Multisig Key: [Public Key Identifier]</w:t>
      </w:r>
    </w:p>
    <w:p>
      <w:pPr>
        <w:spacing w:line="360" w:after="210" w:lineRule="auto"/>
      </w:pPr>
      <w:r>
        <w:rPr>
          <w:rFonts w:eastAsia="inter" w:cs="inter" w:ascii="inter" w:hAnsi="inter"/>
          <w:b/>
          <w:color w:val="000000"/>
        </w:rPr>
        <w:t xml:space="preserve">Founding Member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C3 Affiliation: [Primary C3 Community]</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Multisig Key: [Public Key Identifier]</w:t>
      </w:r>
    </w:p>
    <w:p>
      <w:pPr>
        <w:spacing w:line="360" w:after="210" w:lineRule="auto"/>
      </w:pPr>
      <w:r>
        <w:rPr>
          <w:rFonts w:eastAsia="inter" w:cs="inter" w:ascii="inter" w:hAnsi="inter"/>
          <w:b/>
          <w:color w:val="000000"/>
        </w:rPr>
        <w:t xml:space="preserve">[Additional Founding Members as applicable]</w:t>
      </w:r>
    </w:p>
    <w:p>
      <w:pPr>
        <w:spacing w:line="360" w:before="315" w:after="105" w:lineRule="auto"/>
        <w:ind w:left="-30"/>
        <w:jc w:val="left"/>
      </w:pPr>
      <w:r>
        <w:rPr>
          <w:rFonts w:eastAsia="inter" w:cs="inter" w:ascii="inter" w:hAnsi="inter"/>
          <w:b/>
          <w:color w:val="000000"/>
          <w:sz w:val="24"/>
        </w:rPr>
        <w:t xml:space="preserve">3.4 Management Authority and Decision-Making</w:t>
      </w:r>
    </w:p>
    <w:p>
      <w:pPr>
        <w:spacing w:line="360" w:after="210" w:lineRule="auto"/>
      </w:pPr>
      <w:r>
        <w:rPr>
          <w:rFonts w:eastAsia="inter" w:cs="inter" w:ascii="inter" w:hAnsi="inter"/>
          <w:b/>
          <w:color w:val="000000"/>
        </w:rPr>
        <w:t xml:space="preserve">Multisig Threshold:</w:t>
      </w:r>
      <w:r>
        <w:rPr>
          <w:rFonts w:eastAsia="inter" w:cs="inter" w:ascii="inter" w:hAnsi="inter"/>
          <w:color w:val="000000"/>
        </w:rPr>
        <w:t xml:space="preserve"> [X] of [Y] signatures required for:</w:t>
      </w:r>
    </w:p>
    <w:p>
      <w:pPr>
        <w:numPr>
          <w:ilvl w:val="0"/>
          <w:numId w:val="4"/>
        </w:numPr>
        <w:spacing w:line="360" w:before="105" w:after="105" w:lineRule="auto"/>
      </w:pPr>
      <w:r>
        <w:rPr>
          <w:rFonts w:eastAsia="inter" w:cs="inter" w:ascii="inter" w:hAnsi="inter"/>
          <w:color w:val="000000"/>
          <w:sz w:val="21"/>
        </w:rPr>
        <w:t xml:space="preserve">Business contract execution and Impact Offer bidding</w:t>
      </w:r>
    </w:p>
    <w:p>
      <w:pPr>
        <w:numPr>
          <w:ilvl w:val="0"/>
          <w:numId w:val="4"/>
        </w:numPr>
        <w:spacing w:line="360" w:before="105" w:after="105" w:lineRule="auto"/>
      </w:pPr>
      <w:r>
        <w:rPr>
          <w:rFonts w:eastAsia="inter" w:cs="inter" w:ascii="inter" w:hAnsi="inter"/>
          <w:color w:val="000000"/>
          <w:sz w:val="21"/>
        </w:rPr>
        <w:t xml:space="preserve">Financial transactions exceeding [Amount] JULZ</w:t>
      </w:r>
    </w:p>
    <w:p>
      <w:pPr>
        <w:numPr>
          <w:ilvl w:val="0"/>
          <w:numId w:val="4"/>
        </w:numPr>
        <w:spacing w:line="360" w:before="105" w:after="105" w:lineRule="auto"/>
      </w:pPr>
      <w:r>
        <w:rPr>
          <w:rFonts w:eastAsia="inter" w:cs="inter" w:ascii="inter" w:hAnsi="inter"/>
          <w:color w:val="000000"/>
          <w:sz w:val="21"/>
        </w:rPr>
        <w:t xml:space="preserve">Strategic partnerships and external relationship management</w:t>
      </w:r>
    </w:p>
    <w:p>
      <w:pPr>
        <w:numPr>
          <w:ilvl w:val="0"/>
          <w:numId w:val="4"/>
        </w:numPr>
        <w:spacing w:line="360" w:before="105" w:after="105" w:lineRule="auto"/>
      </w:pPr>
      <w:r>
        <w:rPr>
          <w:rFonts w:eastAsia="inter" w:cs="inter" w:ascii="inter" w:hAnsi="inter"/>
          <w:color w:val="000000"/>
          <w:sz w:val="21"/>
        </w:rPr>
        <w:t xml:space="preserve">Operational policy changes and service delivery modifications</w:t>
      </w:r>
    </w:p>
    <w:p>
      <w:pPr>
        <w:spacing w:line="360" w:after="210" w:lineRule="auto"/>
      </w:pPr>
      <w:r>
        <w:rPr>
          <w:rFonts w:eastAsia="inter" w:cs="inter" w:ascii="inter" w:hAnsi="inter"/>
          <w:b/>
          <w:color w:val="000000"/>
        </w:rPr>
        <w:t xml:space="preserve">Consensus Requirements:</w:t>
      </w:r>
    </w:p>
    <w:p>
      <w:pPr>
        <w:numPr>
          <w:ilvl w:val="0"/>
          <w:numId w:val="5"/>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Constitutional amendments, dissolution decisions, and founder admission/removal</w:t>
      </w:r>
    </w:p>
    <w:p>
      <w:pPr>
        <w:numPr>
          <w:ilvl w:val="0"/>
          <w:numId w:val="5"/>
        </w:numPr>
        <w:spacing w:line="360" w:before="105" w:after="105" w:lineRule="auto"/>
      </w:pPr>
      <w:r>
        <w:rPr>
          <w:rFonts w:eastAsia="inter" w:cs="inter" w:ascii="inter" w:hAnsi="inter"/>
          <w:b/>
          <w:color w:val="000000"/>
          <w:sz w:val="21"/>
        </w:rPr>
        <w:t xml:space="preserve">Supermajority ([X]%)</w:t>
      </w:r>
      <w:r>
        <w:rPr>
          <w:rFonts w:eastAsia="inter" w:cs="inter" w:ascii="inter" w:hAnsi="inter"/>
          <w:color w:val="000000"/>
          <w:sz w:val="21"/>
        </w:rPr>
        <w:t xml:space="preserve">: Major business decisions, significant capital expenditures, and strategic pivots</w:t>
      </w:r>
    </w:p>
    <w:p>
      <w:pPr>
        <w:numPr>
          <w:ilvl w:val="0"/>
          <w:numId w:val="5"/>
        </w:numPr>
        <w:spacing w:line="360" w:before="105" w:after="105" w:lineRule="auto"/>
      </w:pPr>
      <w:r>
        <w:rPr>
          <w:rFonts w:eastAsia="inter" w:cs="inter" w:ascii="inter" w:hAnsi="inter"/>
          <w:b/>
          <w:color w:val="000000"/>
          <w:sz w:val="21"/>
        </w:rPr>
        <w:t xml:space="preserve">Simple Majority ([X]%)</w:t>
      </w:r>
      <w:r>
        <w:rPr>
          <w:rFonts w:eastAsia="inter" w:cs="inter" w:ascii="inter" w:hAnsi="inter"/>
          <w:color w:val="000000"/>
          <w:sz w:val="21"/>
        </w:rPr>
        <w:t xml:space="preserve">: Routine operational decisions, minor policy adjustments, and daily management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SMART CONTRACT INTEGRATION AND MULTISIG GOVERNANCE</w:t>
      </w:r>
    </w:p>
    <w:p>
      <w:pPr>
        <w:spacing w:line="360" w:before="315" w:after="105" w:lineRule="auto"/>
        <w:ind w:left="-30"/>
        <w:jc w:val="left"/>
      </w:pPr>
      <w:r>
        <w:rPr>
          <w:rFonts w:eastAsia="inter" w:cs="inter" w:ascii="inter" w:hAnsi="inter"/>
          <w:b/>
          <w:color w:val="000000"/>
          <w:sz w:val="24"/>
        </w:rPr>
        <w:t xml:space="preserve">4.1 Smart Contract Identifiers</w:t>
      </w:r>
    </w:p>
    <w:p>
      <w:pPr>
        <w:spacing w:line="360" w:after="210" w:lineRule="auto"/>
      </w:pPr>
      <w:r>
        <w:rPr>
          <w:rFonts w:eastAsia="inter" w:cs="inter" w:ascii="inter" w:hAnsi="inter"/>
          <w:color w:val="000000"/>
        </w:rPr>
        <w:t xml:space="preserve">The following smart contracts are directly used to manage, facilitate, or operate this MECO:</w:t>
      </w:r>
    </w:p>
    <w:p>
      <w:pPr>
        <w:spacing w:line="360" w:after="210" w:lineRule="auto"/>
      </w:pPr>
      <w:r>
        <w:rPr>
          <w:rFonts w:eastAsia="inter" w:cs="inter" w:ascii="inter" w:hAnsi="inter"/>
          <w:b/>
          <w:color w:val="000000"/>
        </w:rPr>
        <w:t xml:space="preserve">Primary Governance Contract:</w:t>
      </w:r>
      <w:r>
        <w:rPr>
          <w:rFonts w:eastAsia="inter" w:cs="inter" w:ascii="inter" w:hAnsi="inter"/>
          <w:color w:val="000000"/>
        </w:rPr>
        <w:br w:type="textWrapping"/>
      </w:r>
      <w:r>
        <w:rPr>
          <w:rFonts w:eastAsia="inter" w:cs="inter" w:ascii="inter" w:hAnsi="inter"/>
          <w:color w:val="000000"/>
        </w:rPr>
        <w:t xml:space="preserve">[Cardano Smart Contract Address for MECO Governance]</w:t>
      </w:r>
    </w:p>
    <w:p>
      <w:pPr>
        <w:spacing w:line="360" w:after="210" w:lineRule="auto"/>
      </w:pPr>
      <w:r>
        <w:rPr>
          <w:rFonts w:eastAsia="inter" w:cs="inter" w:ascii="inter" w:hAnsi="inter"/>
          <w:b/>
          <w:color w:val="000000"/>
        </w:rPr>
        <w:t xml:space="preserve">Multisig Wallet Contract:</w:t>
      </w:r>
      <w:r>
        <w:rPr>
          <w:rFonts w:eastAsia="inter" w:cs="inter" w:ascii="inter" w:hAnsi="inter"/>
          <w:color w:val="000000"/>
        </w:rPr>
        <w:br w:type="textWrapping"/>
      </w:r>
      <w:r>
        <w:rPr>
          <w:rFonts w:eastAsia="inter" w:cs="inter" w:ascii="inter" w:hAnsi="inter"/>
          <w:color w:val="000000"/>
        </w:rPr>
        <w:t xml:space="preserve">[Multisig Wallet Smart Contract Managing MECO Treasury]</w:t>
      </w:r>
    </w:p>
    <w:p>
      <w:pPr>
        <w:spacing w:line="360" w:after="210" w:lineRule="auto"/>
      </w:pPr>
      <w:r>
        <w:rPr>
          <w:rFonts w:eastAsia="inter" w:cs="inter" w:ascii="inter" w:hAnsi="inter"/>
          <w:b/>
          <w:color w:val="000000"/>
        </w:rPr>
        <w:t xml:space="preserve">Identity Management Contract:</w:t>
      </w:r>
      <w:r>
        <w:rPr>
          <w:rFonts w:eastAsia="inter" w:cs="inter" w:ascii="inter" w:hAnsi="inter"/>
          <w:color w:val="000000"/>
        </w:rPr>
        <w:br w:type="textWrapping"/>
      </w:r>
      <w:r>
        <w:rPr>
          <w:rFonts w:eastAsia="inter" w:cs="inter" w:ascii="inter" w:hAnsi="inter"/>
          <w:color w:val="000000"/>
        </w:rPr>
        <w:t xml:space="preserve">[Hyperledger Identus Integration for MECO DID Management]</w:t>
      </w:r>
    </w:p>
    <w:p>
      <w:pPr>
        <w:spacing w:line="360" w:after="210" w:lineRule="auto"/>
      </w:pPr>
      <w:r>
        <w:rPr>
          <w:rFonts w:eastAsia="inter" w:cs="inter" w:ascii="inter" w:hAnsi="inter"/>
          <w:b/>
          <w:color w:val="000000"/>
        </w:rPr>
        <w:t xml:space="preserve">Service Delivery Contract:</w:t>
      </w:r>
      <w:r>
        <w:rPr>
          <w:rFonts w:eastAsia="inter" w:cs="inter" w:ascii="inter" w:hAnsi="inter"/>
          <w:color w:val="000000"/>
        </w:rPr>
        <w:br w:type="textWrapping"/>
      </w:r>
      <w:r>
        <w:rPr>
          <w:rFonts w:eastAsia="inter" w:cs="inter" w:ascii="inter" w:hAnsi="inter"/>
          <w:color w:val="000000"/>
        </w:rPr>
        <w:t xml:space="preserve">[Impact Offer Bidding and Execution Smart Contract]</w:t>
      </w:r>
    </w:p>
    <w:p>
      <w:pPr>
        <w:spacing w:line="360" w:after="210" w:lineRule="auto"/>
      </w:pPr>
      <w:r>
        <w:rPr>
          <w:rFonts w:eastAsia="inter" w:cs="inter" w:ascii="inter" w:hAnsi="inter"/>
          <w:i/>
          <w:color w:val="000000"/>
        </w:rPr>
        <w:t xml:space="preserve">Note: Specific contract identifiers will be provided upon MECO deployment and C3 Alliance integration</w:t>
      </w:r>
    </w:p>
    <w:p>
      <w:pPr>
        <w:spacing w:line="360" w:before="315" w:after="105" w:lineRule="auto"/>
        <w:ind w:left="-30"/>
        <w:jc w:val="left"/>
      </w:pPr>
      <w:r>
        <w:rPr>
          <w:rFonts w:eastAsia="inter" w:cs="inter" w:ascii="inter" w:hAnsi="inter"/>
          <w:b/>
          <w:color w:val="000000"/>
          <w:sz w:val="24"/>
        </w:rPr>
        <w:t xml:space="preserve">4.2 MECO DID (Decentralized Identifier)</w:t>
      </w:r>
    </w:p>
    <w:p>
      <w:pPr>
        <w:spacing w:line="360" w:after="210" w:lineRule="auto"/>
      </w:pPr>
      <w:r>
        <w:rPr>
          <w:rFonts w:eastAsia="inter" w:cs="inter" w:ascii="inter" w:hAnsi="inter"/>
          <w:b/>
          <w:color w:val="000000"/>
        </w:rPr>
        <w:t xml:space="preserve">MECO Business Identity:</w:t>
      </w:r>
      <w:r>
        <w:rPr>
          <w:rFonts w:eastAsia="inter" w:cs="inter" w:ascii="inter" w:hAnsi="inter"/>
          <w:color w:val="000000"/>
        </w:rPr>
        <w:br w:type="textWrapping"/>
      </w:r>
      <w:r>
        <w:rPr>
          <w:rFonts w:eastAsia="inter" w:cs="inter" w:ascii="inter" w:hAnsi="inter"/>
          <w:color w:val="000000"/>
        </w:rPr>
        <w:t xml:space="preserve">MECO DID: [Unique DID for Business Entity Identity]</w:t>
      </w:r>
      <w:r>
        <w:rPr>
          <w:rFonts w:eastAsia="inter" w:cs="inter" w:ascii="inter" w:hAnsi="inter"/>
          <w:color w:val="000000"/>
        </w:rPr>
        <w:br w:type="textWrapping"/>
      </w:r>
      <w:r>
        <w:rPr>
          <w:rFonts w:eastAsia="inter" w:cs="inter" w:ascii="inter" w:hAnsi="inter"/>
          <w:color w:val="000000"/>
        </w:rPr>
        <w:t xml:space="preserve">Registry: Hyperledger Identus via C3 Alliance Infrastructure</w:t>
      </w:r>
      <w:r>
        <w:rPr>
          <w:rFonts w:eastAsia="inter" w:cs="inter" w:ascii="inter" w:hAnsi="inter"/>
          <w:color w:val="000000"/>
        </w:rPr>
        <w:br w:type="textWrapping"/>
      </w:r>
      <w:r>
        <w:rPr>
          <w:rFonts w:eastAsia="inter" w:cs="inter" w:ascii="inter" w:hAnsi="inter"/>
          <w:color w:val="000000"/>
        </w:rPr>
        <w:t xml:space="preserve">Verification Method: Cryptographic proof tied to founding member MEIDs</w:t>
      </w:r>
      <w:r>
        <w:rPr>
          <w:rFonts w:eastAsia="inter" w:cs="inter" w:ascii="inter" w:hAnsi="inter"/>
          <w:color w:val="000000"/>
        </w:rPr>
        <w:br w:type="textWrapping"/>
      </w:r>
      <w:r>
        <w:rPr>
          <w:rFonts w:eastAsia="inter" w:cs="inter" w:ascii="inter" w:hAnsi="inter"/>
          <w:color w:val="000000"/>
        </w:rPr>
        <w:t xml:space="preserve">Service Endpoints: [API endpoints for business verification and communication]</w:t>
      </w:r>
    </w:p>
    <w:p>
      <w:pPr>
        <w:spacing w:line="360" w:before="315" w:after="105" w:lineRule="auto"/>
        <w:ind w:left="-30"/>
        <w:jc w:val="left"/>
      </w:pPr>
      <w:r>
        <w:rPr>
          <w:rFonts w:eastAsia="inter" w:cs="inter" w:ascii="inter" w:hAnsi="inter"/>
          <w:b/>
          <w:color w:val="000000"/>
          <w:sz w:val="24"/>
        </w:rPr>
        <w:t xml:space="preserve">4.3 Multisig Wallet Governance</w:t>
      </w:r>
    </w:p>
    <w:p>
      <w:pPr>
        <w:spacing w:line="360" w:after="210" w:lineRule="auto"/>
      </w:pPr>
      <w:r>
        <w:rPr>
          <w:rFonts w:eastAsia="inter" w:cs="inter" w:ascii="inter" w:hAnsi="inter"/>
          <w:b/>
          <w:color w:val="000000"/>
        </w:rPr>
        <w:t xml:space="preserve">Cryptographic Management:</w:t>
      </w:r>
    </w:p>
    <w:p>
      <w:pPr>
        <w:numPr>
          <w:ilvl w:val="0"/>
          <w:numId w:val="6"/>
        </w:numPr>
        <w:spacing w:line="360" w:before="105" w:after="105" w:lineRule="auto"/>
      </w:pPr>
      <w:r>
        <w:rPr>
          <w:rFonts w:eastAsia="inter" w:cs="inter" w:ascii="inter" w:hAnsi="inter"/>
          <w:color w:val="000000"/>
          <w:sz w:val="21"/>
        </w:rPr>
        <w:t xml:space="preserve">All MECO treasury operations conducted through multisig wallet requiring [X] of [Y] founding member signatures</w:t>
      </w:r>
    </w:p>
    <w:p>
      <w:pPr>
        <w:numPr>
          <w:ilvl w:val="0"/>
          <w:numId w:val="6"/>
        </w:numPr>
        <w:spacing w:line="360" w:before="105" w:after="105" w:lineRule="auto"/>
      </w:pPr>
      <w:r>
        <w:rPr>
          <w:rFonts w:eastAsia="inter" w:cs="inter" w:ascii="inter" w:hAnsi="inter"/>
          <w:color w:val="000000"/>
          <w:sz w:val="21"/>
        </w:rPr>
        <w:t xml:space="preserve">Private key management remains with individual founding members in non-custodial wallets</w:t>
      </w:r>
    </w:p>
    <w:p>
      <w:pPr>
        <w:numPr>
          <w:ilvl w:val="0"/>
          <w:numId w:val="6"/>
        </w:numPr>
        <w:spacing w:line="360" w:before="105" w:after="105" w:lineRule="auto"/>
      </w:pPr>
      <w:r>
        <w:rPr>
          <w:rFonts w:eastAsia="inter" w:cs="inter" w:ascii="inter" w:hAnsi="inter"/>
          <w:color w:val="000000"/>
          <w:sz w:val="21"/>
        </w:rPr>
        <w:t xml:space="preserve">Emergency procedures for key rotation, member departure, and security incident response</w:t>
      </w:r>
    </w:p>
    <w:p>
      <w:pPr>
        <w:numPr>
          <w:ilvl w:val="0"/>
          <w:numId w:val="6"/>
        </w:numPr>
        <w:spacing w:line="360" w:before="105" w:after="105" w:lineRule="auto"/>
      </w:pPr>
      <w:r>
        <w:rPr>
          <w:rFonts w:eastAsia="inter" w:cs="inter" w:ascii="inter" w:hAnsi="inter"/>
          <w:color w:val="000000"/>
          <w:sz w:val="21"/>
        </w:rPr>
        <w:t xml:space="preserve">Integration with Lace wallet infrastructure for seamless C3 ecosystem interaction</w:t>
      </w:r>
    </w:p>
    <w:p>
      <w:pPr>
        <w:spacing w:line="360" w:after="210" w:lineRule="auto"/>
      </w:pPr>
      <w:r>
        <w:rPr>
          <w:rFonts w:eastAsia="inter" w:cs="inter" w:ascii="inter" w:hAnsi="inter"/>
          <w:b/>
          <w:color w:val="000000"/>
        </w:rPr>
        <w:t xml:space="preserve">Treasury Management Authority:</w:t>
      </w:r>
    </w:p>
    <w:p>
      <w:pPr>
        <w:numPr>
          <w:ilvl w:val="0"/>
          <w:numId w:val="7"/>
        </w:numPr>
        <w:spacing w:line="360" w:before="105" w:after="105" w:lineRule="auto"/>
      </w:pPr>
      <w:r>
        <w:rPr>
          <w:rFonts w:eastAsia="inter" w:cs="inter" w:ascii="inter" w:hAnsi="inter"/>
          <w:b/>
          <w:color w:val="000000"/>
          <w:sz w:val="21"/>
        </w:rPr>
        <w:t xml:space="preserve">Impact Offer Payments</w:t>
      </w:r>
      <w:r>
        <w:rPr>
          <w:rFonts w:eastAsia="inter" w:cs="inter" w:ascii="inter" w:hAnsi="inter"/>
          <w:color w:val="000000"/>
          <w:sz w:val="21"/>
        </w:rPr>
        <w:t xml:space="preserve">: Automated receipt of JULZ compensation upon milestone completion</w:t>
      </w:r>
    </w:p>
    <w:p>
      <w:pPr>
        <w:numPr>
          <w:ilvl w:val="0"/>
          <w:numId w:val="7"/>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Multi-signature authorization for business expenditures and investments</w:t>
      </w:r>
    </w:p>
    <w:p>
      <w:pPr>
        <w:numPr>
          <w:ilvl w:val="0"/>
          <w:numId w:val="7"/>
        </w:numPr>
        <w:spacing w:line="360" w:before="105" w:after="105" w:lineRule="auto"/>
      </w:pPr>
      <w:r>
        <w:rPr>
          <w:rFonts w:eastAsia="inter" w:cs="inter" w:ascii="inter" w:hAnsi="inter"/>
          <w:b/>
          <w:color w:val="000000"/>
          <w:sz w:val="21"/>
        </w:rPr>
        <w:t xml:space="preserve">Founder Distributions</w:t>
      </w:r>
      <w:r>
        <w:rPr>
          <w:rFonts w:eastAsia="inter" w:cs="inter" w:ascii="inter" w:hAnsi="inter"/>
          <w:color w:val="000000"/>
          <w:sz w:val="21"/>
        </w:rPr>
        <w:t xml:space="preserve">: Profit sharing and Founders Reserve Bonus allocation according to operating agreement</w:t>
      </w:r>
    </w:p>
    <w:p>
      <w:pPr>
        <w:numPr>
          <w:ilvl w:val="0"/>
          <w:numId w:val="7"/>
        </w:numPr>
        <w:spacing w:line="360" w:before="105" w:after="105" w:lineRule="auto"/>
      </w:pPr>
      <w:r>
        <w:rPr>
          <w:rFonts w:eastAsia="inter" w:cs="inter" w:ascii="inter" w:hAnsi="inter"/>
          <w:b/>
          <w:color w:val="000000"/>
          <w:sz w:val="21"/>
        </w:rPr>
        <w:t xml:space="preserve">Tax Compliance</w:t>
      </w:r>
      <w:r>
        <w:rPr>
          <w:rFonts w:eastAsia="inter" w:cs="inter" w:ascii="inter" w:hAnsi="inter"/>
          <w:color w:val="000000"/>
          <w:sz w:val="21"/>
        </w:rPr>
        <w:t xml:space="preserve">: Appropriate fund segregation for tax obligations and regulatory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ECONOMIC STRUCTURE AND COMPENSATION</w:t>
      </w:r>
    </w:p>
    <w:p>
      <w:pPr>
        <w:spacing w:line="360" w:before="315" w:after="105" w:lineRule="auto"/>
        <w:ind w:left="-30"/>
        <w:jc w:val="left"/>
      </w:pPr>
      <w:r>
        <w:rPr>
          <w:rFonts w:eastAsia="inter" w:cs="inter" w:ascii="inter" w:hAnsi="inter"/>
          <w:b/>
          <w:color w:val="000000"/>
          <w:sz w:val="24"/>
        </w:rPr>
        <w:t xml:space="preserve">5.1 Capital Contributions and Equity Structure</w:t>
      </w:r>
    </w:p>
    <w:p>
      <w:pPr>
        <w:spacing w:line="360" w:after="210" w:lineRule="auto"/>
      </w:pPr>
      <w:r>
        <w:rPr>
          <w:rFonts w:eastAsia="inter" w:cs="inter" w:ascii="inter" w:hAnsi="inter"/>
          <w:b/>
          <w:color w:val="000000"/>
        </w:rPr>
        <w:t xml:space="preserve">Founding Member Capital Requirements:</w:t>
      </w:r>
      <w:r>
        <w:rPr>
          <w:rFonts w:eastAsia="inter" w:cs="inter" w:ascii="inter" w:hAnsi="inter"/>
          <w:color w:val="000000"/>
        </w:rPr>
        <w:br w:type="textWrapping"/>
      </w:r>
      <w:r>
        <w:rPr>
          <w:rFonts w:eastAsia="inter" w:cs="inter" w:ascii="inter" w:hAnsi="inter"/>
          <w:color w:val="000000"/>
        </w:rPr>
        <w:t xml:space="preserve">Minimum Initial Contribution: [Amount] JULZ equivalent per founding member</w:t>
      </w:r>
      <w:r>
        <w:rPr>
          <w:rFonts w:eastAsia="inter" w:cs="inter" w:ascii="inter" w:hAnsi="inter"/>
          <w:color w:val="000000"/>
        </w:rPr>
        <w:br w:type="textWrapping"/>
      </w:r>
      <w:r>
        <w:rPr>
          <w:rFonts w:eastAsia="inter" w:cs="inter" w:ascii="inter" w:hAnsi="inter"/>
          <w:color w:val="000000"/>
        </w:rPr>
        <w:t xml:space="preserve">Additional Contributions: By unanimous consent or operating agreement provisions</w:t>
      </w:r>
      <w:r>
        <w:rPr>
          <w:rFonts w:eastAsia="inter" w:cs="inter" w:ascii="inter" w:hAnsi="inter"/>
          <w:color w:val="000000"/>
        </w:rPr>
        <w:br w:type="textWrapping"/>
      </w:r>
      <w:r>
        <w:rPr>
          <w:rFonts w:eastAsia="inter" w:cs="inter" w:ascii="inter" w:hAnsi="inter"/>
          <w:color w:val="000000"/>
        </w:rPr>
        <w:t xml:space="preserve">Equity Allocation: [Percentage] equally divided among founding members OR [Custom allocation based on contribution/expertise]</w:t>
      </w:r>
    </w:p>
    <w:p>
      <w:pPr>
        <w:spacing w:line="360" w:after="210" w:lineRule="auto"/>
      </w:pPr>
      <w:r>
        <w:rPr>
          <w:rFonts w:eastAsia="inter" w:cs="inter" w:ascii="inter" w:hAnsi="inter"/>
          <w:b/>
          <w:color w:val="000000"/>
        </w:rPr>
        <w:t xml:space="preserve">Contribution Types:</w:t>
      </w:r>
    </w:p>
    <w:p>
      <w:pPr>
        <w:numPr>
          <w:ilvl w:val="0"/>
          <w:numId w:val="8"/>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JULZ, BTC, or other approved digital assets</w:t>
      </w:r>
    </w:p>
    <w:p>
      <w:pPr>
        <w:numPr>
          <w:ilvl w:val="0"/>
          <w:numId w:val="8"/>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t xml:space="preserve">: Pre-existing technology, methodologies, or business assets</w:t>
      </w:r>
    </w:p>
    <w:p>
      <w:pPr>
        <w:numPr>
          <w:ilvl w:val="0"/>
          <w:numId w:val="8"/>
        </w:numPr>
        <w:spacing w:line="360" w:before="105" w:after="105" w:lineRule="auto"/>
      </w:pPr>
      <w:r>
        <w:rPr>
          <w:rFonts w:eastAsia="inter" w:cs="inter" w:ascii="inter" w:hAnsi="inter"/>
          <w:b/>
          <w:color w:val="000000"/>
          <w:sz w:val="21"/>
        </w:rPr>
        <w:t xml:space="preserve">Sweat Equity</w:t>
      </w:r>
      <w:r>
        <w:rPr>
          <w:rFonts w:eastAsia="inter" w:cs="inter" w:ascii="inter" w:hAnsi="inter"/>
          <w:color w:val="000000"/>
          <w:sz w:val="21"/>
        </w:rPr>
        <w:t xml:space="preserve">: Development work, business establishment, and pre-revenue contribution</w:t>
      </w:r>
    </w:p>
    <w:p>
      <w:pPr>
        <w:numPr>
          <w:ilvl w:val="0"/>
          <w:numId w:val="8"/>
        </w:numPr>
        <w:spacing w:line="360" w:before="105" w:after="105" w:lineRule="auto"/>
      </w:pPr>
      <w:r>
        <w:rPr>
          <w:rFonts w:eastAsia="inter" w:cs="inter" w:ascii="inter" w:hAnsi="inter"/>
          <w:b/>
          <w:color w:val="000000"/>
          <w:sz w:val="21"/>
        </w:rPr>
        <w:t xml:space="preserve">Professional Networks</w:t>
      </w:r>
      <w:r>
        <w:rPr>
          <w:rFonts w:eastAsia="inter" w:cs="inter" w:ascii="inter" w:hAnsi="inter"/>
          <w:color w:val="000000"/>
          <w:sz w:val="21"/>
        </w:rPr>
        <w:t xml:space="preserve">: Client relationships, partnership opportunities, and market access</w:t>
      </w:r>
    </w:p>
    <w:p>
      <w:pPr>
        <w:spacing w:line="360" w:before="315" w:after="105" w:lineRule="auto"/>
        <w:ind w:left="-30"/>
        <w:jc w:val="left"/>
      </w:pPr>
      <w:r>
        <w:rPr>
          <w:rFonts w:eastAsia="inter" w:cs="inter" w:ascii="inter" w:hAnsi="inter"/>
          <w:b/>
          <w:color w:val="000000"/>
          <w:sz w:val="24"/>
        </w:rPr>
        <w:t xml:space="preserve">5.2 Compensation and Profit Distribution</w:t>
      </w:r>
    </w:p>
    <w:p>
      <w:pPr>
        <w:spacing w:line="360" w:after="210" w:lineRule="auto"/>
      </w:pPr>
      <w:r>
        <w:rPr>
          <w:rFonts w:eastAsia="inter" w:cs="inter" w:ascii="inter" w:hAnsi="inter"/>
          <w:b/>
          <w:color w:val="000000"/>
        </w:rPr>
        <w:t xml:space="preserve">Service Delivery Compensation:</w:t>
      </w:r>
    </w:p>
    <w:p>
      <w:pPr>
        <w:numPr>
          <w:ilvl w:val="0"/>
          <w:numId w:val="9"/>
        </w:numPr>
        <w:spacing w:line="360" w:before="105" w:after="105" w:lineRule="auto"/>
      </w:pPr>
      <w:r>
        <w:rPr>
          <w:rFonts w:eastAsia="inter" w:cs="inter" w:ascii="inter" w:hAnsi="inter"/>
          <w:b/>
          <w:color w:val="000000"/>
          <w:sz w:val="21"/>
        </w:rPr>
        <w:t xml:space="preserve">JULZ Payments</w:t>
      </w:r>
      <w:r>
        <w:rPr>
          <w:rFonts w:eastAsia="inter" w:cs="inter" w:ascii="inter" w:hAnsi="inter"/>
          <w:color w:val="000000"/>
          <w:sz w:val="21"/>
        </w:rPr>
        <w:t xml:space="preserve">: Direct compensation for completed Impact Offers according to winning bid amounts</w:t>
      </w:r>
    </w:p>
    <w:p>
      <w:pPr>
        <w:numPr>
          <w:ilvl w:val="0"/>
          <w:numId w:val="9"/>
        </w:numPr>
        <w:spacing w:line="360" w:before="105" w:after="105" w:lineRule="auto"/>
      </w:pPr>
      <w:r>
        <w:rPr>
          <w:rFonts w:eastAsia="inter" w:cs="inter" w:ascii="inter" w:hAnsi="inter"/>
          <w:b/>
          <w:color w:val="000000"/>
          <w:sz w:val="21"/>
        </w:rPr>
        <w:t xml:space="preserve">PPT Token Rewards</w:t>
      </w:r>
      <w:r>
        <w:rPr>
          <w:rFonts w:eastAsia="inter" w:cs="inter" w:ascii="inter" w:hAnsi="inter"/>
          <w:color w:val="000000"/>
          <w:sz w:val="21"/>
        </w:rPr>
        <w:t xml:space="preserve">: Proof of Patronage Tokens earned based on faction service delivery (PDT/PCT/PMT)</w:t>
      </w:r>
    </w:p>
    <w:p>
      <w:pPr>
        <w:numPr>
          <w:ilvl w:val="0"/>
          <w:numId w:val="9"/>
        </w:numPr>
        <w:spacing w:line="360" w:before="105" w:after="105" w:lineRule="auto"/>
      </w:pPr>
      <w:r>
        <w:rPr>
          <w:rFonts w:eastAsia="inter" w:cs="inter" w:ascii="inter" w:hAnsi="inter"/>
          <w:b/>
          <w:color w:val="000000"/>
          <w:sz w:val="21"/>
        </w:rPr>
        <w:t xml:space="preserve">Performance Bonuses</w:t>
      </w:r>
      <w:r>
        <w:rPr>
          <w:rFonts w:eastAsia="inter" w:cs="inter" w:ascii="inter" w:hAnsi="inter"/>
          <w:color w:val="000000"/>
          <w:sz w:val="21"/>
        </w:rPr>
        <w:t xml:space="preserve">: Additional compensation for exceptional service delivery and client satisfaction</w:t>
      </w:r>
    </w:p>
    <w:p>
      <w:pPr>
        <w:spacing w:line="360" w:after="210" w:lineRule="auto"/>
      </w:pPr>
      <w:r>
        <w:rPr>
          <w:rFonts w:eastAsia="inter" w:cs="inter" w:ascii="inter" w:hAnsi="inter"/>
          <w:b/>
          <w:color w:val="000000"/>
        </w:rPr>
        <w:t xml:space="preserve">Founders Reserve Bonus Structure:</w:t>
      </w:r>
    </w:p>
    <w:p>
      <w:pPr>
        <w:numPr>
          <w:ilvl w:val="0"/>
          <w:numId w:val="10"/>
        </w:numPr>
        <w:spacing w:line="360" w:before="105" w:after="105" w:lineRule="auto"/>
      </w:pPr>
      <w:r>
        <w:rPr>
          <w:rFonts w:eastAsia="inter" w:cs="inter" w:ascii="inter" w:hAnsi="inter"/>
          <w:b/>
          <w:color w:val="000000"/>
          <w:sz w:val="21"/>
        </w:rPr>
        <w:t xml:space="preserve">Reserve Allocation</w:t>
      </w:r>
      <w:r>
        <w:rPr>
          <w:rFonts w:eastAsia="inter" w:cs="inter" w:ascii="inter" w:hAnsi="inter"/>
          <w:color w:val="000000"/>
          <w:sz w:val="21"/>
        </w:rPr>
        <w:t xml:space="preserve">: [5-15%] of net revenue allocated to Founders Reserve Fund</w:t>
      </w:r>
    </w:p>
    <w:p>
      <w:pPr>
        <w:numPr>
          <w:ilvl w:val="0"/>
          <w:numId w:val="10"/>
        </w:numPr>
        <w:spacing w:line="360" w:before="105" w:after="105" w:lineRule="auto"/>
      </w:pPr>
      <w:r>
        <w:rPr>
          <w:rFonts w:eastAsia="inter" w:cs="inter" w:ascii="inter" w:hAnsi="inter"/>
          <w:b/>
          <w:color w:val="000000"/>
          <w:sz w:val="21"/>
        </w:rPr>
        <w:t xml:space="preserve">Distribution Basis</w:t>
      </w:r>
      <w:r>
        <w:rPr>
          <w:rFonts w:eastAsia="inter" w:cs="inter" w:ascii="inter" w:hAnsi="inter"/>
          <w:color w:val="000000"/>
          <w:sz w:val="21"/>
        </w:rPr>
        <w:t xml:space="preserve">: Proportional to founding contribution ratios and ongoing management participation</w:t>
      </w:r>
    </w:p>
    <w:p>
      <w:pPr>
        <w:numPr>
          <w:ilvl w:val="0"/>
          <w:numId w:val="10"/>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[Time period] vesting to incentivize long-term commitment and business sustainability</w:t>
      </w:r>
    </w:p>
    <w:p>
      <w:pPr>
        <w:numPr>
          <w:ilvl w:val="0"/>
          <w:numId w:val="10"/>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Reserve distribution tied to quality delivery, client satisfaction, and community impact</w:t>
      </w:r>
    </w:p>
    <w:p>
      <w:pPr>
        <w:spacing w:line="360" w:before="315" w:after="105" w:lineRule="auto"/>
        <w:ind w:left="-30"/>
        <w:jc w:val="left"/>
      </w:pPr>
      <w:r>
        <w:rPr>
          <w:rFonts w:eastAsia="inter" w:cs="inter" w:ascii="inter" w:hAnsi="inter"/>
          <w:b/>
          <w:color w:val="000000"/>
          <w:sz w:val="24"/>
        </w:rPr>
        <w:t xml:space="preserve">5.3 Tax Identification and Compliance</w:t>
      </w:r>
    </w:p>
    <w:p>
      <w:pPr>
        <w:spacing w:line="360" w:after="210" w:lineRule="auto"/>
      </w:pPr>
      <w:r>
        <w:rPr>
          <w:rFonts w:eastAsia="inter" w:cs="inter" w:ascii="inter" w:hAnsi="inter"/>
          <w:b/>
          <w:color w:val="000000"/>
        </w:rPr>
        <w:t xml:space="preserve">Federal Tax Election:</w:t>
      </w:r>
      <w:r>
        <w:rPr>
          <w:rFonts w:eastAsia="inter" w:cs="inter" w:ascii="inter" w:hAnsi="inter"/>
          <w:color w:val="000000"/>
        </w:rPr>
        <w:br w:type="textWrapping"/>
      </w:r>
      <w:r>
        <w:rPr>
          <w:rFonts w:eastAsia="inter" w:cs="inter" w:ascii="inter" w:hAnsi="inter"/>
          <w:color w:val="000000"/>
        </w:rPr>
        <w:t xml:space="preserve">EIN (Employer Identification Number): [To be obtained from IRS]</w:t>
      </w:r>
      <w:r>
        <w:rPr>
          <w:rFonts w:eastAsia="inter" w:cs="inter" w:ascii="inter" w:hAnsi="inter"/>
          <w:color w:val="000000"/>
        </w:rPr>
        <w:br w:type="textWrapping"/>
      </w:r>
      <w:r>
        <w:rPr>
          <w:rFonts w:eastAsia="inter" w:cs="inter" w:ascii="inter" w:hAnsi="inter"/>
          <w:color w:val="000000"/>
        </w:rPr>
        <w:t xml:space="preserve">Tax Classification: [LLC Partnership/Corporate Election as applicable]</w:t>
      </w:r>
      <w:r>
        <w:rPr>
          <w:rFonts w:eastAsia="inter" w:cs="inter" w:ascii="inter" w:hAnsi="inter"/>
          <w:color w:val="000000"/>
        </w:rPr>
        <w:br w:type="textWrapping"/>
      </w:r>
      <w:r>
        <w:rPr>
          <w:rFonts w:eastAsia="inter" w:cs="inter" w:ascii="inter" w:hAnsi="inter"/>
          <w:color w:val="000000"/>
        </w:rPr>
        <w:t xml:space="preserve">Accounting Method: [Cash/Accrual] basis as appropriate for business scale</w:t>
      </w:r>
    </w:p>
    <w:p>
      <w:pPr>
        <w:spacing w:line="360" w:after="210" w:lineRule="auto"/>
      </w:pPr>
      <w:r>
        <w:rPr>
          <w:rFonts w:eastAsia="inter" w:cs="inter" w:ascii="inter" w:hAnsi="inter"/>
          <w:b/>
          <w:color w:val="000000"/>
        </w:rPr>
        <w:t xml:space="preserve">Multi-Jurisdictional Compliance:</w:t>
      </w:r>
    </w:p>
    <w:p>
      <w:pPr>
        <w:numPr>
          <w:ilvl w:val="0"/>
          <w:numId w:val="11"/>
        </w:numPr>
        <w:spacing w:line="360" w:before="105" w:after="105" w:lineRule="auto"/>
      </w:pPr>
      <w:r>
        <w:rPr>
          <w:rFonts w:eastAsia="inter" w:cs="inter" w:ascii="inter" w:hAnsi="inter"/>
          <w:color w:val="000000"/>
          <w:sz w:val="21"/>
        </w:rPr>
        <w:t xml:space="preserve">State and local business licenses as required for service delivery locations</w:t>
      </w:r>
    </w:p>
    <w:p>
      <w:pPr>
        <w:numPr>
          <w:ilvl w:val="0"/>
          <w:numId w:val="11"/>
        </w:numPr>
        <w:spacing w:line="360" w:before="105" w:after="105" w:lineRule="auto"/>
      </w:pPr>
      <w:r>
        <w:rPr>
          <w:rFonts w:eastAsia="inter" w:cs="inter" w:ascii="inter" w:hAnsi="inter"/>
          <w:color w:val="000000"/>
          <w:sz w:val="21"/>
        </w:rPr>
        <w:t xml:space="preserve">International tax identification numbers for cross-border service delivery</w:t>
      </w:r>
    </w:p>
    <w:p>
      <w:pPr>
        <w:numPr>
          <w:ilvl w:val="0"/>
          <w:numId w:val="11"/>
        </w:numPr>
        <w:spacing w:line="360" w:before="105" w:after="105" w:lineRule="auto"/>
      </w:pPr>
      <w:r>
        <w:rPr>
          <w:rFonts w:eastAsia="inter" w:cs="inter" w:ascii="inter" w:hAnsi="inter"/>
          <w:color w:val="000000"/>
          <w:sz w:val="21"/>
        </w:rPr>
        <w:t xml:space="preserve">Sales tax registration for applicable service types and jurisdictions</w:t>
      </w:r>
    </w:p>
    <w:p>
      <w:pPr>
        <w:numPr>
          <w:ilvl w:val="0"/>
          <w:numId w:val="11"/>
        </w:numPr>
        <w:spacing w:line="360" w:before="105" w:after="105" w:lineRule="auto"/>
      </w:pPr>
      <w:r>
        <w:rPr>
          <w:rFonts w:eastAsia="inter" w:cs="inter" w:ascii="inter" w:hAnsi="inter"/>
          <w:color w:val="000000"/>
          <w:sz w:val="21"/>
        </w:rPr>
        <w:t xml:space="preserve">Employment tax compliance for any hired employees outside founding member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SERVICE DELIVERY AND QUALITY ASSURANCE</w:t>
      </w:r>
    </w:p>
    <w:p>
      <w:pPr>
        <w:spacing w:line="360" w:before="315" w:after="105" w:lineRule="auto"/>
        <w:ind w:left="-30"/>
        <w:jc w:val="left"/>
      </w:pPr>
      <w:r>
        <w:rPr>
          <w:rFonts w:eastAsia="inter" w:cs="inter" w:ascii="inter" w:hAnsi="inter"/>
          <w:b/>
          <w:color w:val="000000"/>
          <w:sz w:val="24"/>
        </w:rPr>
        <w:t xml:space="preserve">6.1 Impact Offer Bidding Process</w:t>
      </w:r>
    </w:p>
    <w:p>
      <w:pPr>
        <w:spacing w:line="360" w:after="210" w:lineRule="auto"/>
      </w:pPr>
      <w:r>
        <w:rPr>
          <w:rFonts w:eastAsia="inter" w:cs="inter" w:ascii="inter" w:hAnsi="inter"/>
          <w:b/>
          <w:color w:val="000000"/>
        </w:rPr>
        <w:t xml:space="preserve">CapX Marketplace Participation:</w:t>
      </w:r>
    </w:p>
    <w:p>
      <w:pPr>
        <w:numPr>
          <w:ilvl w:val="0"/>
          <w:numId w:val="12"/>
        </w:numPr>
        <w:spacing w:line="360" w:before="105" w:after="105" w:lineRule="auto"/>
      </w:pPr>
      <w:r>
        <w:rPr>
          <w:rFonts w:eastAsia="inter" w:cs="inter" w:ascii="inter" w:hAnsi="inter"/>
          <w:b/>
          <w:color w:val="000000"/>
          <w:sz w:val="21"/>
        </w:rPr>
        <w:t xml:space="preserve">Opportunity Identification</w:t>
      </w:r>
      <w:r>
        <w:rPr>
          <w:rFonts w:eastAsia="inter" w:cs="inter" w:ascii="inter" w:hAnsi="inter"/>
          <w:color w:val="000000"/>
          <w:sz w:val="21"/>
        </w:rPr>
        <w:t xml:space="preserve">: Monitoring C3 Alliance CapX marketplace for relevant Impact Offers</w:t>
      </w:r>
    </w:p>
    <w:p>
      <w:pPr>
        <w:numPr>
          <w:ilvl w:val="0"/>
          <w:numId w:val="12"/>
        </w:numPr>
        <w:spacing w:line="360" w:before="105" w:after="105" w:lineRule="auto"/>
      </w:pPr>
      <w:r>
        <w:rPr>
          <w:rFonts w:eastAsia="inter" w:cs="inter" w:ascii="inter" w:hAnsi="inter"/>
          <w:b/>
          <w:color w:val="000000"/>
          <w:sz w:val="21"/>
        </w:rPr>
        <w:t xml:space="preserve">Faction Sponsorship</w:t>
      </w:r>
      <w:r>
        <w:rPr>
          <w:rFonts w:eastAsia="inter" w:cs="inter" w:ascii="inter" w:hAnsi="inter"/>
          <w:color w:val="000000"/>
          <w:sz w:val="21"/>
        </w:rPr>
        <w:t xml:space="preserve">: Optional pursuit of endorsement from relevant factions (Union-PDT, Guild-PCT, Syndicate-PMT)</w:t>
      </w:r>
    </w:p>
    <w:p>
      <w:pPr>
        <w:numPr>
          <w:ilvl w:val="0"/>
          <w:numId w:val="12"/>
        </w:numPr>
        <w:spacing w:line="360" w:before="105" w:after="105" w:lineRule="auto"/>
      </w:pPr>
      <w:r>
        <w:rPr>
          <w:rFonts w:eastAsia="inter" w:cs="inter" w:ascii="inter" w:hAnsi="inter"/>
          <w:b/>
          <w:color w:val="000000"/>
          <w:sz w:val="21"/>
        </w:rPr>
        <w:t xml:space="preserve">Competitive Bidding</w:t>
      </w:r>
      <w:r>
        <w:rPr>
          <w:rFonts w:eastAsia="inter" w:cs="inter" w:ascii="inter" w:hAnsi="inter"/>
          <w:color w:val="000000"/>
          <w:sz w:val="21"/>
        </w:rPr>
        <w:t xml:space="preserve">: Submission of comprehensive proposals including pricing, timeline, team qualifications, and methodology</w:t>
      </w:r>
    </w:p>
    <w:p>
      <w:pPr>
        <w:numPr>
          <w:ilvl w:val="0"/>
          <w:numId w:val="12"/>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Participation in C3 community voting process for contractor selection</w:t>
      </w:r>
    </w:p>
    <w:p>
      <w:pPr>
        <w:numPr>
          <w:ilvl w:val="0"/>
          <w:numId w:val="12"/>
        </w:numPr>
        <w:spacing w:line="360" w:before="105" w:after="105" w:lineRule="auto"/>
      </w:pPr>
      <w:r>
        <w:rPr>
          <w:rFonts w:eastAsia="inter" w:cs="inter" w:ascii="inter" w:hAnsi="inter"/>
          <w:b/>
          <w:color w:val="000000"/>
          <w:sz w:val="21"/>
        </w:rPr>
        <w:t xml:space="preserve">Contract Execution</w:t>
      </w:r>
      <w:r>
        <w:rPr>
          <w:rFonts w:eastAsia="inter" w:cs="inter" w:ascii="inter" w:hAnsi="inter"/>
          <w:color w:val="000000"/>
          <w:sz w:val="21"/>
        </w:rPr>
        <w:t xml:space="preserve">: Smart contract-based milestone management and payment processing</w:t>
      </w:r>
    </w:p>
    <w:p>
      <w:pPr>
        <w:spacing w:line="360" w:before="315" w:after="105" w:lineRule="auto"/>
        <w:ind w:left="-30"/>
        <w:jc w:val="left"/>
      </w:pPr>
      <w:r>
        <w:rPr>
          <w:rFonts w:eastAsia="inter" w:cs="inter" w:ascii="inter" w:hAnsi="inter"/>
          <w:b/>
          <w:color w:val="000000"/>
          <w:sz w:val="24"/>
        </w:rPr>
        <w:t xml:space="preserve">6.2 Service Delivery Standards</w:t>
      </w:r>
    </w:p>
    <w:p>
      <w:pPr>
        <w:spacing w:line="360" w:after="210" w:lineRule="auto"/>
      </w:pPr>
      <w:r>
        <w:rPr>
          <w:rFonts w:eastAsia="inter" w:cs="inter" w:ascii="inter" w:hAnsi="inter"/>
          <w:b/>
          <w:color w:val="000000"/>
        </w:rPr>
        <w:t xml:space="preserve">Quality Assurance Framework:</w:t>
      </w:r>
    </w:p>
    <w:p>
      <w:pPr>
        <w:numPr>
          <w:ilvl w:val="0"/>
          <w:numId w:val="13"/>
        </w:numPr>
        <w:spacing w:line="360" w:before="105" w:after="105" w:lineRule="auto"/>
      </w:pPr>
      <w:r>
        <w:rPr>
          <w:rFonts w:eastAsia="inter" w:cs="inter" w:ascii="inter" w:hAnsi="inter"/>
          <w:b/>
          <w:color w:val="000000"/>
          <w:sz w:val="21"/>
        </w:rPr>
        <w:t xml:space="preserve">Milestone-Based Delivery</w:t>
      </w:r>
      <w:r>
        <w:rPr>
          <w:rFonts w:eastAsia="inter" w:cs="inter" w:ascii="inter" w:hAnsi="inter"/>
          <w:color w:val="000000"/>
          <w:sz w:val="21"/>
        </w:rPr>
        <w:t xml:space="preserve">: Structured project execution with clear deliverables and acceptance criteria</w:t>
      </w:r>
    </w:p>
    <w:p>
      <w:pPr>
        <w:numPr>
          <w:ilvl w:val="0"/>
          <w:numId w:val="13"/>
        </w:numPr>
        <w:spacing w:line="360" w:before="105" w:after="105" w:lineRule="auto"/>
      </w:pPr>
      <w:r>
        <w:rPr>
          <w:rFonts w:eastAsia="inter" w:cs="inter" w:ascii="inter" w:hAnsi="inter"/>
          <w:b/>
          <w:color w:val="000000"/>
          <w:sz w:val="21"/>
        </w:rPr>
        <w:t xml:space="preserve">Client Communication</w:t>
      </w:r>
      <w:r>
        <w:rPr>
          <w:rFonts w:eastAsia="inter" w:cs="inter" w:ascii="inter" w:hAnsi="inter"/>
          <w:color w:val="000000"/>
          <w:sz w:val="21"/>
        </w:rPr>
        <w:t xml:space="preserve">: Regular progress reporting and stakeholder engagement throughout project lifecycle</w:t>
      </w:r>
    </w:p>
    <w:p>
      <w:pPr>
        <w:numPr>
          <w:ilvl w:val="0"/>
          <w:numId w:val="13"/>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Post-project analysis and incorporation of feedback for enhanced future performance</w:t>
      </w:r>
    </w:p>
    <w:p>
      <w:pPr>
        <w:numPr>
          <w:ilvl w:val="0"/>
          <w:numId w:val="13"/>
        </w:numPr>
        <w:spacing w:line="360" w:before="105" w:after="105" w:lineRule="auto"/>
      </w:pPr>
      <w:r>
        <w:rPr>
          <w:rFonts w:eastAsia="inter" w:cs="inter" w:ascii="inter" w:hAnsi="inter"/>
          <w:b/>
          <w:color w:val="000000"/>
          <w:sz w:val="21"/>
        </w:rPr>
        <w:t xml:space="preserve">Alliance Standards</w:t>
      </w:r>
      <w:r>
        <w:rPr>
          <w:rFonts w:eastAsia="inter" w:cs="inter" w:ascii="inter" w:hAnsi="inter"/>
          <w:color w:val="000000"/>
          <w:sz w:val="21"/>
        </w:rPr>
        <w:t xml:space="preserve">: Compliance with C3 Alliance technical standards, security protocols, and best practices</w:t>
      </w:r>
    </w:p>
    <w:p>
      <w:pPr>
        <w:spacing w:line="360" w:after="210" w:lineRule="auto"/>
      </w:pPr>
      <w:r>
        <w:rPr>
          <w:rFonts w:eastAsia="inter" w:cs="inter" w:ascii="inter" w:hAnsi="inter"/>
          <w:b/>
          <w:color w:val="000000"/>
        </w:rPr>
        <w:t xml:space="preserve">Performance Metrics:</w:t>
      </w:r>
    </w:p>
    <w:p>
      <w:pPr>
        <w:numPr>
          <w:ilvl w:val="0"/>
          <w:numId w:val="14"/>
        </w:numPr>
        <w:spacing w:line="360" w:before="105" w:after="105" w:lineRule="auto"/>
      </w:pPr>
      <w:r>
        <w:rPr>
          <w:rFonts w:eastAsia="inter" w:cs="inter" w:ascii="inter" w:hAnsi="inter"/>
          <w:b/>
          <w:color w:val="000000"/>
          <w:sz w:val="21"/>
        </w:rPr>
        <w:t xml:space="preserve">Delivery Timeliness</w:t>
      </w:r>
      <w:r>
        <w:rPr>
          <w:rFonts w:eastAsia="inter" w:cs="inter" w:ascii="inter" w:hAnsi="inter"/>
          <w:color w:val="000000"/>
          <w:sz w:val="21"/>
        </w:rPr>
        <w:t xml:space="preserve">: On-time completion of agreed milestones and final deliverables</w:t>
      </w:r>
    </w:p>
    <w:p>
      <w:pPr>
        <w:numPr>
          <w:ilvl w:val="0"/>
          <w:numId w:val="14"/>
        </w:numPr>
        <w:spacing w:line="360" w:before="105" w:after="105" w:lineRule="auto"/>
      </w:pPr>
      <w:r>
        <w:rPr>
          <w:rFonts w:eastAsia="inter" w:cs="inter" w:ascii="inter" w:hAnsi="inter"/>
          <w:b/>
          <w:color w:val="000000"/>
          <w:sz w:val="21"/>
        </w:rPr>
        <w:t xml:space="preserve">Quality Standards</w:t>
      </w:r>
      <w:r>
        <w:rPr>
          <w:rFonts w:eastAsia="inter" w:cs="inter" w:ascii="inter" w:hAnsi="inter"/>
          <w:color w:val="000000"/>
          <w:sz w:val="21"/>
        </w:rPr>
        <w:t xml:space="preserve">: Meeting or exceeding specified technical and functional requirements</w:t>
      </w:r>
    </w:p>
    <w:p>
      <w:pPr>
        <w:numPr>
          <w:ilvl w:val="0"/>
          <w:numId w:val="14"/>
        </w:numPr>
        <w:spacing w:line="360" w:before="105" w:after="105" w:lineRule="auto"/>
      </w:pPr>
      <w:r>
        <w:rPr>
          <w:rFonts w:eastAsia="inter" w:cs="inter" w:ascii="inter" w:hAnsi="inter"/>
          <w:b/>
          <w:color w:val="000000"/>
          <w:sz w:val="21"/>
        </w:rPr>
        <w:t xml:space="preserve">Client Satisfaction</w:t>
      </w:r>
      <w:r>
        <w:rPr>
          <w:rFonts w:eastAsia="inter" w:cs="inter" w:ascii="inter" w:hAnsi="inter"/>
          <w:color w:val="000000"/>
          <w:sz w:val="21"/>
        </w:rPr>
        <w:t xml:space="preserve">: Post-project evaluation and feedback scores from C3 community members</w:t>
      </w:r>
    </w:p>
    <w:p>
      <w:pPr>
        <w:numPr>
          <w:ilvl w:val="0"/>
          <w:numId w:val="14"/>
        </w:numPr>
        <w:spacing w:line="360" w:before="105" w:after="105" w:lineRule="auto"/>
      </w:pPr>
      <w:r>
        <w:rPr>
          <w:rFonts w:eastAsia="inter" w:cs="inter" w:ascii="inter" w:hAnsi="inter"/>
          <w:b/>
          <w:color w:val="000000"/>
          <w:sz w:val="21"/>
        </w:rPr>
        <w:t xml:space="preserve">Innovation Contribution</w:t>
      </w:r>
      <w:r>
        <w:rPr>
          <w:rFonts w:eastAsia="inter" w:cs="inter" w:ascii="inter" w:hAnsi="inter"/>
          <w:color w:val="000000"/>
          <w:sz w:val="21"/>
        </w:rPr>
        <w:t xml:space="preserve">: Development of new methodologies, tools, or approaches benefiting the broader Alliance</w:t>
      </w:r>
    </w:p>
    <w:p>
      <w:pPr>
        <w:spacing w:line="360" w:before="315" w:after="105" w:lineRule="auto"/>
        <w:ind w:left="-30"/>
        <w:jc w:val="left"/>
      </w:pPr>
      <w:r>
        <w:rPr>
          <w:rFonts w:eastAsia="inter" w:cs="inter" w:ascii="inter" w:hAnsi="inter"/>
          <w:b/>
          <w:color w:val="000000"/>
          <w:sz w:val="24"/>
        </w:rPr>
        <w:t xml:space="preserve">6.3 Cross-C3 Service Capabilities</w:t>
      </w:r>
    </w:p>
    <w:p>
      <w:pPr>
        <w:spacing w:line="360" w:after="210" w:lineRule="auto"/>
      </w:pPr>
      <w:r>
        <w:rPr>
          <w:rFonts w:eastAsia="inter" w:cs="inter" w:ascii="inter" w:hAnsi="inter"/>
          <w:b/>
          <w:color w:val="000000"/>
        </w:rPr>
        <w:t xml:space="preserve">Multi-Community Operations:</w:t>
      </w:r>
    </w:p>
    <w:p>
      <w:pPr>
        <w:numPr>
          <w:ilvl w:val="0"/>
          <w:numId w:val="15"/>
        </w:numPr>
        <w:spacing w:line="360" w:before="105" w:after="105" w:lineRule="auto"/>
      </w:pPr>
      <w:r>
        <w:rPr>
          <w:rFonts w:eastAsia="inter" w:cs="inter" w:ascii="inter" w:hAnsi="inter"/>
          <w:color w:val="000000"/>
          <w:sz w:val="21"/>
        </w:rPr>
        <w:t xml:space="preserve">Authorization to provide services to any C3 community within the Alliance ecosystem</w:t>
      </w:r>
    </w:p>
    <w:p>
      <w:pPr>
        <w:numPr>
          <w:ilvl w:val="0"/>
          <w:numId w:val="15"/>
        </w:numPr>
        <w:spacing w:line="360" w:before="105" w:after="105" w:lineRule="auto"/>
      </w:pPr>
      <w:r>
        <w:rPr>
          <w:rFonts w:eastAsia="inter" w:cs="inter" w:ascii="inter" w:hAnsi="inter"/>
          <w:color w:val="000000"/>
          <w:sz w:val="21"/>
        </w:rPr>
        <w:t xml:space="preserve">Standardized service delivery protocols enabling consistent quality across different communities</w:t>
      </w:r>
    </w:p>
    <w:p>
      <w:pPr>
        <w:numPr>
          <w:ilvl w:val="0"/>
          <w:numId w:val="15"/>
        </w:numPr>
        <w:spacing w:line="360" w:before="105" w:after="105" w:lineRule="auto"/>
      </w:pPr>
      <w:r>
        <w:rPr>
          <w:rFonts w:eastAsia="inter" w:cs="inter" w:ascii="inter" w:hAnsi="inter"/>
          <w:color w:val="000000"/>
          <w:sz w:val="21"/>
        </w:rPr>
        <w:t xml:space="preserve">Knowledge transfer and best practice sharing between C3 communities through MECO operations</w:t>
      </w:r>
    </w:p>
    <w:p>
      <w:pPr>
        <w:numPr>
          <w:ilvl w:val="0"/>
          <w:numId w:val="15"/>
        </w:numPr>
        <w:spacing w:line="360" w:before="105" w:after="105" w:lineRule="auto"/>
      </w:pPr>
      <w:r>
        <w:rPr>
          <w:rFonts w:eastAsia="inter" w:cs="inter" w:ascii="inter" w:hAnsi="inter"/>
          <w:color w:val="000000"/>
          <w:sz w:val="21"/>
        </w:rPr>
        <w:t xml:space="preserve">Conflict of interest management ensuring fair treatment of all C3 clients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GOVERNANCE AND MEMBER RELATIONS</w:t>
      </w:r>
    </w:p>
    <w:p>
      <w:pPr>
        <w:spacing w:line="360" w:before="315" w:after="105" w:lineRule="auto"/>
        <w:ind w:left="-30"/>
        <w:jc w:val="left"/>
      </w:pPr>
      <w:r>
        <w:rPr>
          <w:rFonts w:eastAsia="inter" w:cs="inter" w:ascii="inter" w:hAnsi="inter"/>
          <w:b/>
          <w:color w:val="000000"/>
          <w:sz w:val="24"/>
        </w:rPr>
        <w:t xml:space="preserve">7.1 Founding Member Rights and Responsibilities</w:t>
      </w:r>
    </w:p>
    <w:p>
      <w:pPr>
        <w:spacing w:line="360" w:after="210" w:lineRule="auto"/>
      </w:pPr>
      <w:r>
        <w:rPr>
          <w:rFonts w:eastAsia="inter" w:cs="inter" w:ascii="inter" w:hAnsi="inter"/>
          <w:b/>
          <w:color w:val="000000"/>
        </w:rPr>
        <w:t xml:space="preserve">Management Rights:</w:t>
      </w:r>
    </w:p>
    <w:p>
      <w:pPr>
        <w:numPr>
          <w:ilvl w:val="0"/>
          <w:numId w:val="16"/>
        </w:numPr>
        <w:spacing w:line="360" w:before="105" w:after="105" w:lineRule="auto"/>
      </w:pPr>
      <w:r>
        <w:rPr>
          <w:rFonts w:eastAsia="inter" w:cs="inter" w:ascii="inter" w:hAnsi="inter"/>
          <w:color w:val="000000"/>
          <w:sz w:val="21"/>
        </w:rPr>
        <w:t xml:space="preserve">Equal participation in strategic decision-making and business direction</w:t>
      </w:r>
    </w:p>
    <w:p>
      <w:pPr>
        <w:numPr>
          <w:ilvl w:val="0"/>
          <w:numId w:val="16"/>
        </w:numPr>
        <w:spacing w:line="360" w:before="105" w:after="105" w:lineRule="auto"/>
      </w:pPr>
      <w:r>
        <w:rPr>
          <w:rFonts w:eastAsia="inter" w:cs="inter" w:ascii="inter" w:hAnsi="inter"/>
          <w:color w:val="000000"/>
          <w:sz w:val="21"/>
        </w:rPr>
        <w:t xml:space="preserve">Proportional voting rights based on equity contribution and operating agreement provisions</w:t>
      </w:r>
    </w:p>
    <w:p>
      <w:pPr>
        <w:numPr>
          <w:ilvl w:val="0"/>
          <w:numId w:val="16"/>
        </w:numPr>
        <w:spacing w:line="360" w:before="105" w:after="105" w:lineRule="auto"/>
      </w:pPr>
      <w:r>
        <w:rPr>
          <w:rFonts w:eastAsia="inter" w:cs="inter" w:ascii="inter" w:hAnsi="inter"/>
          <w:color w:val="000000"/>
          <w:sz w:val="21"/>
        </w:rPr>
        <w:t xml:space="preserve">Access to all business records, financial information, and performance metrics</w:t>
      </w:r>
    </w:p>
    <w:p>
      <w:pPr>
        <w:numPr>
          <w:ilvl w:val="0"/>
          <w:numId w:val="16"/>
        </w:numPr>
        <w:spacing w:line="360" w:before="105" w:after="105" w:lineRule="auto"/>
      </w:pPr>
      <w:r>
        <w:rPr>
          <w:rFonts w:eastAsia="inter" w:cs="inter" w:ascii="inter" w:hAnsi="inter"/>
          <w:color w:val="000000"/>
          <w:sz w:val="21"/>
        </w:rPr>
        <w:t xml:space="preserve">Right to propose new service offerings, partnerships, and business expansion opportunities</w:t>
      </w:r>
    </w:p>
    <w:p>
      <w:pPr>
        <w:spacing w:line="360" w:after="210" w:lineRule="auto"/>
      </w:pPr>
      <w:r>
        <w:rPr>
          <w:rFonts w:eastAsia="inter" w:cs="inter" w:ascii="inter" w:hAnsi="inter"/>
          <w:b/>
          <w:color w:val="000000"/>
        </w:rPr>
        <w:t xml:space="preserve">Fiduciary Responsibilities:</w:t>
      </w:r>
    </w:p>
    <w:p>
      <w:pPr>
        <w:numPr>
          <w:ilvl w:val="0"/>
          <w:numId w:val="17"/>
        </w:numPr>
        <w:spacing w:line="360" w:before="105" w:after="105" w:lineRule="auto"/>
      </w:pPr>
      <w:r>
        <w:rPr>
          <w:rFonts w:eastAsia="inter" w:cs="inter" w:ascii="inter" w:hAnsi="inter"/>
          <w:b/>
          <w:color w:val="000000"/>
          <w:sz w:val="21"/>
        </w:rPr>
        <w:t xml:space="preserve">Good Faith and Fair Dealing</w:t>
      </w:r>
      <w:r>
        <w:rPr>
          <w:rFonts w:eastAsia="inter" w:cs="inter" w:ascii="inter" w:hAnsi="inter"/>
          <w:color w:val="000000"/>
          <w:sz w:val="21"/>
        </w:rPr>
        <w:t xml:space="preserve">: Obligation to act honestly and transparently in all business decisions</w:t>
      </w:r>
    </w:p>
    <w:p>
      <w:pPr>
        <w:numPr>
          <w:ilvl w:val="0"/>
          <w:numId w:val="17"/>
        </w:numPr>
        <w:spacing w:line="360" w:before="105" w:after="105" w:lineRule="auto"/>
      </w:pPr>
      <w:r>
        <w:rPr>
          <w:rFonts w:eastAsia="inter" w:cs="inter" w:ascii="inter" w:hAnsi="inter"/>
          <w:b/>
          <w:color w:val="000000"/>
          <w:sz w:val="21"/>
        </w:rPr>
        <w:t xml:space="preserve">Loyalty to MECO</w:t>
      </w:r>
      <w:r>
        <w:rPr>
          <w:rFonts w:eastAsia="inter" w:cs="inter" w:ascii="inter" w:hAnsi="inter"/>
          <w:color w:val="000000"/>
          <w:sz w:val="21"/>
        </w:rPr>
        <w:t xml:space="preserve">: Avoiding conflicts of interest that could harm business interests or client relationships</w:t>
      </w:r>
    </w:p>
    <w:p>
      <w:pPr>
        <w:numPr>
          <w:ilvl w:val="0"/>
          <w:numId w:val="17"/>
        </w:numPr>
        <w:spacing w:line="360" w:before="105" w:after="105" w:lineRule="auto"/>
      </w:pPr>
      <w:r>
        <w:rPr>
          <w:rFonts w:eastAsia="inter" w:cs="inter" w:ascii="inter" w:hAnsi="inter"/>
          <w:b/>
          <w:color w:val="000000"/>
          <w:sz w:val="21"/>
        </w:rPr>
        <w:t xml:space="preserve">Confidentiality</w:t>
      </w:r>
      <w:r>
        <w:rPr>
          <w:rFonts w:eastAsia="inter" w:cs="inter" w:ascii="inter" w:hAnsi="inter"/>
          <w:color w:val="000000"/>
          <w:sz w:val="21"/>
        </w:rPr>
        <w:t xml:space="preserve">: Protection of proprietary methodologies, client information, and strategic business data</w:t>
      </w:r>
    </w:p>
    <w:p>
      <w:pPr>
        <w:numPr>
          <w:ilvl w:val="0"/>
          <w:numId w:val="17"/>
        </w:numPr>
        <w:spacing w:line="360" w:before="105" w:after="105" w:lineRule="auto"/>
      </w:pPr>
      <w:r>
        <w:rPr>
          <w:rFonts w:eastAsia="inter" w:cs="inter" w:ascii="inter" w:hAnsi="inter"/>
          <w:b/>
          <w:color w:val="000000"/>
          <w:sz w:val="21"/>
        </w:rPr>
        <w:t xml:space="preserve">Professional Competence</w:t>
      </w:r>
      <w:r>
        <w:rPr>
          <w:rFonts w:eastAsia="inter" w:cs="inter" w:ascii="inter" w:hAnsi="inter"/>
          <w:color w:val="000000"/>
          <w:sz w:val="21"/>
        </w:rPr>
        <w:t xml:space="preserve">: Maintaining skills and knowledge necessary for effective service delivery</w:t>
      </w:r>
    </w:p>
    <w:p>
      <w:pPr>
        <w:spacing w:line="360" w:before="315" w:after="105" w:lineRule="auto"/>
        <w:ind w:left="-30"/>
        <w:jc w:val="left"/>
      </w:pPr>
      <w:r>
        <w:rPr>
          <w:rFonts w:eastAsia="inter" w:cs="inter" w:ascii="inter" w:hAnsi="inter"/>
          <w:b/>
          <w:color w:val="000000"/>
          <w:sz w:val="24"/>
        </w:rPr>
        <w:t xml:space="preserve">7.2 Member Admission and Departure</w:t>
      </w:r>
    </w:p>
    <w:p>
      <w:pPr>
        <w:spacing w:line="360" w:after="210" w:lineRule="auto"/>
      </w:pPr>
      <w:r>
        <w:rPr>
          <w:rFonts w:eastAsia="inter" w:cs="inter" w:ascii="inter" w:hAnsi="inter"/>
          <w:b/>
          <w:color w:val="000000"/>
        </w:rPr>
        <w:t xml:space="preserve">New Member Admission Process:</w:t>
      </w:r>
    </w:p>
    <w:p>
      <w:pPr>
        <w:numPr>
          <w:ilvl w:val="0"/>
          <w:numId w:val="18"/>
        </w:numPr>
        <w:spacing w:line="360" w:before="105" w:after="105" w:lineRule="auto"/>
      </w:pPr>
      <w:r>
        <w:rPr>
          <w:rFonts w:eastAsia="inter" w:cs="inter" w:ascii="inter" w:hAnsi="inter"/>
          <w:color w:val="000000"/>
          <w:sz w:val="21"/>
        </w:rPr>
        <w:t xml:space="preserve">Unanimous consent of existing founding members required for new member admission</w:t>
      </w:r>
    </w:p>
    <w:p>
      <w:pPr>
        <w:numPr>
          <w:ilvl w:val="0"/>
          <w:numId w:val="18"/>
        </w:numPr>
        <w:spacing w:line="360" w:before="105" w:after="105" w:lineRule="auto"/>
      </w:pPr>
      <w:r>
        <w:rPr>
          <w:rFonts w:eastAsia="inter" w:cs="inter" w:ascii="inter" w:hAnsi="inter"/>
          <w:color w:val="000000"/>
          <w:sz w:val="21"/>
        </w:rPr>
        <w:t xml:space="preserve">Candidate must meet all founding member requirements including MEID verification and enhanced KYC</w:t>
      </w:r>
    </w:p>
    <w:p>
      <w:pPr>
        <w:numPr>
          <w:ilvl w:val="0"/>
          <w:numId w:val="18"/>
        </w:numPr>
        <w:spacing w:line="360" w:before="105" w:after="105" w:lineRule="auto"/>
      </w:pPr>
      <w:r>
        <w:rPr>
          <w:rFonts w:eastAsia="inter" w:cs="inter" w:ascii="inter" w:hAnsi="inter"/>
          <w:color w:val="000000"/>
          <w:sz w:val="21"/>
        </w:rPr>
        <w:t xml:space="preserve">Operating agreement amendment required to reflect new member equity allocation and governance participation</w:t>
      </w:r>
    </w:p>
    <w:p>
      <w:pPr>
        <w:numPr>
          <w:ilvl w:val="0"/>
          <w:numId w:val="18"/>
        </w:numPr>
        <w:spacing w:line="360" w:before="105" w:after="105" w:lineRule="auto"/>
      </w:pPr>
      <w:r>
        <w:rPr>
          <w:rFonts w:eastAsia="inter" w:cs="inter" w:ascii="inter" w:hAnsi="inter"/>
          <w:color w:val="000000"/>
          <w:sz w:val="21"/>
        </w:rPr>
        <w:t xml:space="preserve">Multisig wallet reconfiguration to include new member's cryptographic keys</w:t>
      </w:r>
    </w:p>
    <w:p>
      <w:pPr>
        <w:spacing w:line="360" w:after="210" w:lineRule="auto"/>
      </w:pPr>
      <w:r>
        <w:rPr>
          <w:rFonts w:eastAsia="inter" w:cs="inter" w:ascii="inter" w:hAnsi="inter"/>
          <w:b/>
          <w:color w:val="000000"/>
        </w:rPr>
        <w:t xml:space="preserve">Member Departure Procedures:</w:t>
      </w:r>
    </w:p>
    <w:p>
      <w:pPr>
        <w:numPr>
          <w:ilvl w:val="0"/>
          <w:numId w:val="19"/>
        </w:numPr>
        <w:spacing w:line="360" w:before="105" w:after="105" w:lineRule="auto"/>
      </w:pPr>
      <w:r>
        <w:rPr>
          <w:rFonts w:eastAsia="inter" w:cs="inter" w:ascii="inter" w:hAnsi="inter"/>
          <w:b/>
          <w:color w:val="000000"/>
          <w:sz w:val="21"/>
        </w:rPr>
        <w:t xml:space="preserve">Voluntary Withdrawal</w:t>
      </w:r>
      <w:r>
        <w:rPr>
          <w:rFonts w:eastAsia="inter" w:cs="inter" w:ascii="inter" w:hAnsi="inter"/>
          <w:color w:val="000000"/>
          <w:sz w:val="21"/>
        </w:rPr>
        <w:t xml:space="preserve">: 90-day notice required with orderly transition of responsibilities and key management</w:t>
      </w:r>
    </w:p>
    <w:p>
      <w:pPr>
        <w:numPr>
          <w:ilvl w:val="0"/>
          <w:numId w:val="19"/>
        </w:numPr>
        <w:spacing w:line="360" w:before="105" w:after="105" w:lineRule="auto"/>
      </w:pPr>
      <w:r>
        <w:rPr>
          <w:rFonts w:eastAsia="inter" w:cs="inter" w:ascii="inter" w:hAnsi="inter"/>
          <w:b/>
          <w:color w:val="000000"/>
          <w:sz w:val="21"/>
        </w:rPr>
        <w:t xml:space="preserve">Involuntary Removal</w:t>
      </w:r>
      <w:r>
        <w:rPr>
          <w:rFonts w:eastAsia="inter" w:cs="inter" w:ascii="inter" w:hAnsi="inter"/>
          <w:color w:val="000000"/>
          <w:sz w:val="21"/>
        </w:rPr>
        <w:t xml:space="preserve">: Supermajority vote for cause including breach of fiduciary duties or professional incompetence</w:t>
      </w:r>
    </w:p>
    <w:p>
      <w:pPr>
        <w:numPr>
          <w:ilvl w:val="0"/>
          <w:numId w:val="19"/>
        </w:numPr>
        <w:spacing w:line="360" w:before="105" w:after="105" w:lineRule="auto"/>
      </w:pPr>
      <w:r>
        <w:rPr>
          <w:rFonts w:eastAsia="inter" w:cs="inter" w:ascii="inter" w:hAnsi="inter"/>
          <w:b/>
          <w:color w:val="000000"/>
          <w:sz w:val="21"/>
        </w:rPr>
        <w:t xml:space="preserve">Equity Valuation</w:t>
      </w:r>
      <w:r>
        <w:rPr>
          <w:rFonts w:eastAsia="inter" w:cs="inter" w:ascii="inter" w:hAnsi="inter"/>
          <w:color w:val="000000"/>
          <w:sz w:val="21"/>
        </w:rPr>
        <w:t xml:space="preserve">: Fair market value determination for departing member's business interest</w:t>
      </w:r>
    </w:p>
    <w:p>
      <w:pPr>
        <w:numPr>
          <w:ilvl w:val="0"/>
          <w:numId w:val="19"/>
        </w:numPr>
        <w:spacing w:line="360" w:before="105" w:after="105" w:lineRule="auto"/>
      </w:pPr>
      <w:r>
        <w:rPr>
          <w:rFonts w:eastAsia="inter" w:cs="inter" w:ascii="inter" w:hAnsi="inter"/>
          <w:b/>
          <w:color w:val="000000"/>
          <w:sz w:val="21"/>
        </w:rPr>
        <w:t xml:space="preserve">Key Rotation</w:t>
      </w:r>
      <w:r>
        <w:rPr>
          <w:rFonts w:eastAsia="inter" w:cs="inter" w:ascii="inter" w:hAnsi="inter"/>
          <w:color w:val="000000"/>
          <w:sz w:val="21"/>
        </w:rPr>
        <w:t xml:space="preserve">: Secure transfer of multisig wallet authority and access credentials</w:t>
      </w:r>
    </w:p>
    <w:p>
      <w:pPr>
        <w:spacing w:line="360" w:before="315" w:after="105" w:lineRule="auto"/>
        <w:ind w:left="-30"/>
        <w:jc w:val="left"/>
      </w:pPr>
      <w:r>
        <w:rPr>
          <w:rFonts w:eastAsia="inter" w:cs="inter" w:ascii="inter" w:hAnsi="inter"/>
          <w:b/>
          <w:color w:val="000000"/>
          <w:sz w:val="24"/>
        </w:rPr>
        <w:t xml:space="preserve">7.3 Dispute Resolution</w:t>
      </w:r>
    </w:p>
    <w:p>
      <w:pPr>
        <w:spacing w:line="360" w:after="210" w:lineRule="auto"/>
      </w:pPr>
      <w:r>
        <w:rPr>
          <w:rFonts w:eastAsia="inter" w:cs="inter" w:ascii="inter" w:hAnsi="inter"/>
          <w:b/>
          <w:color w:val="000000"/>
        </w:rPr>
        <w:t xml:space="preserve">Internal Dispute Management:</w:t>
      </w:r>
    </w:p>
    <w:p>
      <w:pPr>
        <w:numPr>
          <w:ilvl w:val="0"/>
          <w:numId w:val="20"/>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between founding members with good faith discussion</w:t>
      </w:r>
    </w:p>
    <w:p>
      <w:pPr>
        <w:numPr>
          <w:ilvl w:val="0"/>
          <w:numId w:val="20"/>
        </w:numPr>
        <w:spacing w:line="360" w:before="105" w:after="105" w:lineRule="auto"/>
      </w:pPr>
      <w:r>
        <w:rPr>
          <w:rFonts w:eastAsia="inter" w:cs="inter" w:ascii="inter" w:hAnsi="inter"/>
          <w:b/>
          <w:color w:val="000000"/>
          <w:sz w:val="21"/>
        </w:rPr>
        <w:t xml:space="preserve">Mediation</w:t>
      </w:r>
      <w:r>
        <w:rPr>
          <w:rFonts w:eastAsia="inter" w:cs="inter" w:ascii="inter" w:hAnsi="inter"/>
          <w:color w:val="000000"/>
          <w:sz w:val="21"/>
        </w:rPr>
        <w:t xml:space="preserve">: Professional mediation services for complex business or interpersonal conflicts</w:t>
      </w:r>
    </w:p>
    <w:p>
      <w:pPr>
        <w:numPr>
          <w:ilvl w:val="0"/>
          <w:numId w:val="20"/>
        </w:numPr>
        <w:spacing w:line="360" w:before="105" w:after="105" w:lineRule="auto"/>
      </w:pPr>
      <w:r>
        <w:rPr>
          <w:rFonts w:eastAsia="inter" w:cs="inter" w:ascii="inter" w:hAnsi="inter"/>
          <w:b/>
          <w:color w:val="000000"/>
          <w:sz w:val="21"/>
        </w:rPr>
        <w:t xml:space="preserve">C3 Judicial Loop</w:t>
      </w:r>
      <w:r>
        <w:rPr>
          <w:rFonts w:eastAsia="inter" w:cs="inter" w:ascii="inter" w:hAnsi="inter"/>
          <w:color w:val="000000"/>
          <w:sz w:val="21"/>
        </w:rPr>
        <w:t xml:space="preserve">: Access to Constitutional Cooperative Community dispute resolution for client-related issues</w:t>
      </w:r>
    </w:p>
    <w:p>
      <w:pPr>
        <w:numPr>
          <w:ilvl w:val="0"/>
          <w:numId w:val="20"/>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C3 Alliance arbitration services for inter-community business disputes</w:t>
      </w:r>
    </w:p>
    <w:p>
      <w:pPr>
        <w:numPr>
          <w:ilvl w:val="0"/>
          <w:numId w:val="20"/>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Traditional legal system access while maintaining business entity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CONSTITUTIONAL PROTECTIONS AND COMPLIANCE</w:t>
      </w:r>
    </w:p>
    <w:p>
      <w:pPr>
        <w:spacing w:line="360" w:before="315" w:after="105" w:lineRule="auto"/>
        <w:ind w:left="-30"/>
        <w:jc w:val="left"/>
      </w:pPr>
      <w:r>
        <w:rPr>
          <w:rFonts w:eastAsia="inter" w:cs="inter" w:ascii="inter" w:hAnsi="inter"/>
          <w:b/>
          <w:color w:val="000000"/>
          <w:sz w:val="24"/>
        </w:rPr>
        <w:t xml:space="preserve">8.1 C3 Alliance Bill of Rights Compliance</w:t>
      </w:r>
    </w:p>
    <w:p>
      <w:pPr>
        <w:spacing w:line="360" w:after="210" w:lineRule="auto"/>
      </w:pPr>
      <w:r>
        <w:rPr>
          <w:rFonts w:eastAsia="inter" w:cs="inter" w:ascii="inter" w:hAnsi="inter"/>
          <w:color w:val="000000"/>
        </w:rPr>
        <w:t xml:space="preserve">All MECO operations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ensuring:</w:t>
      </w:r>
    </w:p>
    <w:p>
      <w:pPr>
        <w:spacing w:line="360" w:after="210" w:lineRule="auto"/>
      </w:pPr>
      <w:r>
        <w:rPr>
          <w:rFonts w:eastAsia="inter" w:cs="inter" w:ascii="inter" w:hAnsi="inter"/>
          <w:b/>
          <w:color w:val="000000"/>
        </w:rPr>
        <w:t xml:space="preserve">Freedom of Movement/Mobility:</w:t>
      </w:r>
    </w:p>
    <w:p>
      <w:pPr>
        <w:numPr>
          <w:ilvl w:val="0"/>
          <w:numId w:val="21"/>
        </w:numPr>
        <w:spacing w:line="360" w:before="105" w:after="105" w:lineRule="auto"/>
      </w:pPr>
      <w:r>
        <w:rPr>
          <w:rFonts w:eastAsia="inter" w:cs="inter" w:ascii="inter" w:hAnsi="inter"/>
          <w:color w:val="000000"/>
          <w:sz w:val="21"/>
        </w:rPr>
        <w:t xml:space="preserve">Founding members maintain MEID portability and right to exit MECO with fair equity treatment</w:t>
      </w:r>
    </w:p>
    <w:p>
      <w:pPr>
        <w:numPr>
          <w:ilvl w:val="0"/>
          <w:numId w:val="21"/>
        </w:numPr>
        <w:spacing w:line="360" w:before="105" w:after="105" w:lineRule="auto"/>
      </w:pPr>
      <w:r>
        <w:rPr>
          <w:rFonts w:eastAsia="inter" w:cs="inter" w:ascii="inter" w:hAnsi="inter"/>
          <w:color w:val="000000"/>
          <w:sz w:val="21"/>
        </w:rPr>
        <w:t xml:space="preserve">Business operations support rather than restrict member sovereignty and asset control</w:t>
      </w:r>
    </w:p>
    <w:p>
      <w:pPr>
        <w:numPr>
          <w:ilvl w:val="0"/>
          <w:numId w:val="21"/>
        </w:numPr>
        <w:spacing w:line="360" w:before="105" w:after="105" w:lineRule="auto"/>
      </w:pPr>
      <w:r>
        <w:rPr>
          <w:rFonts w:eastAsia="inter" w:cs="inter" w:ascii="inter" w:hAnsi="inter"/>
          <w:color w:val="000000"/>
          <w:sz w:val="21"/>
        </w:rPr>
        <w:t xml:space="preserve">Geographic expansion capabilities without loss of C3 Alliance ecosystem integration</w:t>
      </w:r>
    </w:p>
    <w:p>
      <w:pPr>
        <w:spacing w:line="360" w:after="210" w:lineRule="auto"/>
      </w:pPr>
      <w:r>
        <w:rPr>
          <w:rFonts w:eastAsia="inter" w:cs="inter" w:ascii="inter" w:hAnsi="inter"/>
          <w:b/>
          <w:color w:val="000000"/>
        </w:rPr>
        <w:t xml:space="preserve">Freedom of Association:</w:t>
      </w:r>
    </w:p>
    <w:p>
      <w:pPr>
        <w:numPr>
          <w:ilvl w:val="0"/>
          <w:numId w:val="22"/>
        </w:numPr>
        <w:spacing w:line="360" w:before="105" w:after="105" w:lineRule="auto"/>
      </w:pPr>
      <w:r>
        <w:rPr>
          <w:rFonts w:eastAsia="inter" w:cs="inter" w:ascii="inter" w:hAnsi="inter"/>
          <w:color w:val="000000"/>
          <w:sz w:val="21"/>
        </w:rPr>
        <w:t xml:space="preserve">Right to participate in faction activities and C3 community governance alongside business operations</w:t>
      </w:r>
    </w:p>
    <w:p>
      <w:pPr>
        <w:numPr>
          <w:ilvl w:val="0"/>
          <w:numId w:val="22"/>
        </w:numPr>
        <w:spacing w:line="360" w:before="105" w:after="105" w:lineRule="auto"/>
      </w:pPr>
      <w:r>
        <w:rPr>
          <w:rFonts w:eastAsia="inter" w:cs="inter" w:ascii="inter" w:hAnsi="inter"/>
          <w:color w:val="000000"/>
          <w:sz w:val="21"/>
        </w:rPr>
        <w:t xml:space="preserve">Protection from discrimination in business opportunities based on political or personal characteristics</w:t>
      </w:r>
    </w:p>
    <w:p>
      <w:pPr>
        <w:numPr>
          <w:ilvl w:val="0"/>
          <w:numId w:val="22"/>
        </w:numPr>
        <w:spacing w:line="360" w:before="105" w:after="105" w:lineRule="auto"/>
      </w:pPr>
      <w:r>
        <w:rPr>
          <w:rFonts w:eastAsia="inter" w:cs="inter" w:ascii="inter" w:hAnsi="inter"/>
          <w:color w:val="000000"/>
          <w:sz w:val="21"/>
        </w:rPr>
        <w:t xml:space="preserve">Freedom to form partnerships and alliances consistent with cooperative principles</w:t>
      </w:r>
    </w:p>
    <w:p>
      <w:pPr>
        <w:spacing w:line="360" w:after="210" w:lineRule="auto"/>
      </w:pPr>
      <w:r>
        <w:rPr>
          <w:rFonts w:eastAsia="inter" w:cs="inter" w:ascii="inter" w:hAnsi="inter"/>
          <w:b/>
          <w:color w:val="000000"/>
        </w:rPr>
        <w:t xml:space="preserve">Freedom of Commerce:</w:t>
      </w:r>
    </w:p>
    <w:p>
      <w:pPr>
        <w:numPr>
          <w:ilvl w:val="0"/>
          <w:numId w:val="23"/>
        </w:numPr>
        <w:spacing w:line="360" w:before="105" w:after="105" w:lineRule="auto"/>
      </w:pPr>
      <w:r>
        <w:rPr>
          <w:rFonts w:eastAsia="inter" w:cs="inter" w:ascii="inter" w:hAnsi="inter"/>
          <w:color w:val="000000"/>
          <w:sz w:val="21"/>
        </w:rPr>
        <w:t xml:space="preserve">Equal access to CapX marketplace opportunities and fair competition protocols</w:t>
      </w:r>
    </w:p>
    <w:p>
      <w:pPr>
        <w:numPr>
          <w:ilvl w:val="0"/>
          <w:numId w:val="23"/>
        </w:numPr>
        <w:spacing w:line="360" w:before="105" w:after="105" w:lineRule="auto"/>
      </w:pPr>
      <w:r>
        <w:rPr>
          <w:rFonts w:eastAsia="inter" w:cs="inter" w:ascii="inter" w:hAnsi="inter"/>
          <w:color w:val="000000"/>
          <w:sz w:val="21"/>
        </w:rPr>
        <w:t xml:space="preserve">Transparent pricing and business practices aligned with cooperative economic principles</w:t>
      </w:r>
    </w:p>
    <w:p>
      <w:pPr>
        <w:numPr>
          <w:ilvl w:val="0"/>
          <w:numId w:val="23"/>
        </w:numPr>
        <w:spacing w:line="360" w:before="105" w:after="105" w:lineRule="auto"/>
      </w:pPr>
      <w:r>
        <w:rPr>
          <w:rFonts w:eastAsia="inter" w:cs="inter" w:ascii="inter" w:hAnsi="inter"/>
          <w:color w:val="000000"/>
          <w:sz w:val="21"/>
        </w:rPr>
        <w:t xml:space="preserve">Protection from exploitation through clear contract terms and dispute resolution mechanisms</w:t>
      </w:r>
    </w:p>
    <w:p>
      <w:pPr>
        <w:spacing w:line="360" w:after="210" w:lineRule="auto"/>
      </w:pPr>
      <w:r>
        <w:rPr>
          <w:rFonts w:eastAsia="inter" w:cs="inter" w:ascii="inter" w:hAnsi="inter"/>
          <w:b/>
          <w:color w:val="000000"/>
        </w:rPr>
        <w:t xml:space="preserve">Freedom of Expression:</w:t>
      </w:r>
    </w:p>
    <w:p>
      <w:pPr>
        <w:numPr>
          <w:ilvl w:val="0"/>
          <w:numId w:val="24"/>
        </w:numPr>
        <w:spacing w:line="360" w:before="105" w:after="105" w:lineRule="auto"/>
      </w:pPr>
      <w:r>
        <w:rPr>
          <w:rFonts w:eastAsia="inter" w:cs="inter" w:ascii="inter" w:hAnsi="inter"/>
          <w:color w:val="000000"/>
          <w:sz w:val="21"/>
        </w:rPr>
        <w:t xml:space="preserve">Open source contribution and knowledge sharing within appropriate competitive boundaries</w:t>
      </w:r>
    </w:p>
    <w:p>
      <w:pPr>
        <w:numPr>
          <w:ilvl w:val="0"/>
          <w:numId w:val="24"/>
        </w:numPr>
        <w:spacing w:line="360" w:before="105" w:after="105" w:lineRule="auto"/>
      </w:pPr>
      <w:r>
        <w:rPr>
          <w:rFonts w:eastAsia="inter" w:cs="inter" w:ascii="inter" w:hAnsi="inter"/>
          <w:color w:val="000000"/>
          <w:sz w:val="21"/>
        </w:rPr>
        <w:t xml:space="preserve">Whistleblower protection for reporting client misconduct or Alliance constitutional violations</w:t>
      </w:r>
    </w:p>
    <w:p>
      <w:pPr>
        <w:numPr>
          <w:ilvl w:val="0"/>
          <w:numId w:val="24"/>
        </w:numPr>
        <w:spacing w:line="360" w:before="105" w:after="105" w:lineRule="auto"/>
      </w:pPr>
      <w:r>
        <w:rPr>
          <w:rFonts w:eastAsia="inter" w:cs="inter" w:ascii="inter" w:hAnsi="inter"/>
          <w:color w:val="000000"/>
          <w:sz w:val="21"/>
        </w:rPr>
        <w:t xml:space="preserve">Intellectual property protections balanced with community benefit and innovation sharing</w:t>
      </w:r>
    </w:p>
    <w:p>
      <w:pPr>
        <w:spacing w:line="360" w:before="315" w:after="105" w:lineRule="auto"/>
        <w:ind w:left="-30"/>
        <w:jc w:val="left"/>
      </w:pPr>
      <w:r>
        <w:rPr>
          <w:rFonts w:eastAsia="inter" w:cs="inter" w:ascii="inter" w:hAnsi="inter"/>
          <w:b/>
          <w:color w:val="000000"/>
          <w:sz w:val="24"/>
        </w:rPr>
        <w:t xml:space="preserve">8.2 Privacy and Data Protection</w:t>
      </w:r>
    </w:p>
    <w:p>
      <w:pPr>
        <w:spacing w:line="360" w:after="210" w:lineRule="auto"/>
      </w:pPr>
      <w:r>
        <w:rPr>
          <w:rFonts w:eastAsia="inter" w:cs="inter" w:ascii="inter" w:hAnsi="inter"/>
          <w:b/>
          <w:color w:val="000000"/>
        </w:rPr>
        <w:t xml:space="preserve">Selective Disclosure Implementation:</w:t>
      </w:r>
    </w:p>
    <w:p>
      <w:pPr>
        <w:numPr>
          <w:ilvl w:val="0"/>
          <w:numId w:val="25"/>
        </w:numPr>
        <w:spacing w:line="360" w:before="105" w:after="105" w:lineRule="auto"/>
      </w:pPr>
      <w:r>
        <w:rPr>
          <w:rFonts w:eastAsia="inter" w:cs="inter" w:ascii="inter" w:hAnsi="inter"/>
          <w:color w:val="000000"/>
          <w:sz w:val="21"/>
        </w:rPr>
        <w:t xml:space="preserve">Midnight Network integration for business-sensitive information protection during competitive bidding</w:t>
      </w:r>
    </w:p>
    <w:p>
      <w:pPr>
        <w:numPr>
          <w:ilvl w:val="0"/>
          <w:numId w:val="25"/>
        </w:numPr>
        <w:spacing w:line="360" w:before="105" w:after="105" w:lineRule="auto"/>
      </w:pPr>
      <w:r>
        <w:rPr>
          <w:rFonts w:eastAsia="inter" w:cs="inter" w:ascii="inter" w:hAnsi="inter"/>
          <w:color w:val="000000"/>
          <w:sz w:val="21"/>
        </w:rPr>
        <w:t xml:space="preserve">Client data protection and confidentiality management through privacy-preserving technologies</w:t>
      </w:r>
    </w:p>
    <w:p>
      <w:pPr>
        <w:numPr>
          <w:ilvl w:val="0"/>
          <w:numId w:val="25"/>
        </w:numPr>
        <w:spacing w:line="360" w:before="105" w:after="105" w:lineRule="auto"/>
      </w:pPr>
      <w:r>
        <w:rPr>
          <w:rFonts w:eastAsia="inter" w:cs="inter" w:ascii="inter" w:hAnsi="inter"/>
          <w:color w:val="000000"/>
          <w:sz w:val="21"/>
        </w:rPr>
        <w:t xml:space="preserve">Founding member identity verification without comprehensive personal information exposure</w:t>
      </w:r>
    </w:p>
    <w:p>
      <w:pPr>
        <w:numPr>
          <w:ilvl w:val="0"/>
          <w:numId w:val="25"/>
        </w:numPr>
        <w:spacing w:line="360" w:before="105" w:after="105" w:lineRule="auto"/>
      </w:pPr>
      <w:r>
        <w:rPr>
          <w:rFonts w:eastAsia="inter" w:cs="inter" w:ascii="inter" w:hAnsi="inter"/>
          <w:color w:val="000000"/>
          <w:sz w:val="21"/>
        </w:rPr>
        <w:t xml:space="preserve">Compliance with applicable data protection regulations while maintaining blockchain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NOTICE OF RESTRICTIONS ON DUTIES AND TRANSFERS</w:t>
      </w:r>
    </w:p>
    <w:p>
      <w:pPr>
        <w:spacing w:line="360" w:before="315" w:after="105" w:lineRule="auto"/>
        <w:ind w:left="-30"/>
        <w:jc w:val="left"/>
      </w:pPr>
      <w:r>
        <w:rPr>
          <w:rFonts w:eastAsia="inter" w:cs="inter" w:ascii="inter" w:hAnsi="inter"/>
          <w:b/>
          <w:color w:val="000000"/>
          <w:sz w:val="24"/>
        </w:rPr>
        <w:t xml:space="preserve">9.1 Wyoming DAO Supplement Compliance</w:t>
      </w:r>
    </w:p>
    <w:p>
      <w:pPr>
        <w:spacing w:line="360" w:after="210" w:lineRule="auto"/>
      </w:pPr>
      <w:r>
        <w:rPr>
          <w:rFonts w:eastAsia="inter" w:cs="inter" w:ascii="inter" w:hAnsi="inter"/>
          <w:b/>
          <w:color w:val="000000"/>
        </w:rPr>
        <w:t xml:space="preserve">Required Legal Notice:</w:t>
      </w:r>
    </w:p>
    <w:p>
      <w:pPr>
        <w:spacing w:line="360" w:after="210" w:lineRule="auto"/>
      </w:pPr>
      <w:r>
        <w:rPr>
          <w:rFonts w:eastAsia="inter" w:cs="inter" w:ascii="inter" w:hAnsi="inter"/>
          <w:color w:val="000000"/>
        </w:rPr>
        <w:t xml:space="preserve">The rights of members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w:t>
      </w:r>
    </w:p>
    <w:p>
      <w:pPr>
        <w:spacing w:line="360" w:before="315" w:after="105" w:lineRule="auto"/>
        <w:ind w:left="-30"/>
        <w:jc w:val="left"/>
      </w:pPr>
      <w:r>
        <w:rPr>
          <w:rFonts w:eastAsia="inter" w:cs="inter" w:ascii="inter" w:hAnsi="inter"/>
          <w:b/>
          <w:color w:val="000000"/>
          <w:sz w:val="24"/>
        </w:rPr>
        <w:t xml:space="preserve">9.2 Specific Duty and Transfer Limitations</w:t>
      </w:r>
    </w:p>
    <w:p>
      <w:pPr>
        <w:spacing w:line="360" w:after="210" w:lineRule="auto"/>
      </w:pPr>
      <w:r>
        <w:rPr>
          <w:rFonts w:eastAsia="inter" w:cs="inter" w:ascii="inter" w:hAnsi="inter"/>
          <w:b/>
          <w:color w:val="000000"/>
        </w:rPr>
        <w:t xml:space="preserve">Multi-Member Management Modifications:</w:t>
      </w:r>
    </w:p>
    <w:p>
      <w:pPr>
        <w:numPr>
          <w:ilvl w:val="0"/>
          <w:numId w:val="26"/>
        </w:numPr>
        <w:spacing w:line="360" w:before="105" w:after="105" w:lineRule="auto"/>
      </w:pPr>
      <w:r>
        <w:rPr>
          <w:rFonts w:eastAsia="inter" w:cs="inter" w:ascii="inter" w:hAnsi="inter"/>
          <w:color w:val="000000"/>
          <w:sz w:val="21"/>
        </w:rPr>
        <w:t xml:space="preserve">Founding members have limited fiduciary duties focused on </w:t>
      </w:r>
      <w:r>
        <w:rPr>
          <w:rFonts w:eastAsia="inter" w:cs="inter" w:ascii="inter" w:hAnsi="inter"/>
          <w:b/>
          <w:color w:val="000000"/>
          <w:sz w:val="21"/>
        </w:rPr>
        <w:t xml:space="preserve">good faith and fair dealing</w:t>
      </w:r>
      <w:r>
        <w:rPr>
          <w:rFonts w:eastAsia="inter" w:cs="inter" w:ascii="inter" w:hAnsi="inter"/>
          <w:color w:val="000000"/>
          <w:sz w:val="21"/>
        </w:rPr>
        <w:t xml:space="preserve"> rather than traditional corporate fiduciary obligations</w:t>
      </w:r>
    </w:p>
    <w:p>
      <w:pPr>
        <w:numPr>
          <w:ilvl w:val="0"/>
          <w:numId w:val="26"/>
        </w:numPr>
        <w:spacing w:line="360" w:before="105" w:after="105" w:lineRule="auto"/>
      </w:pPr>
      <w:r>
        <w:rPr>
          <w:rFonts w:eastAsia="inter" w:cs="inter" w:ascii="inter" w:hAnsi="inter"/>
          <w:b/>
          <w:color w:val="000000"/>
          <w:sz w:val="21"/>
        </w:rPr>
        <w:t xml:space="preserve">Business Judgment Protection</w:t>
      </w:r>
      <w:r>
        <w:rPr>
          <w:rFonts w:eastAsia="inter" w:cs="inter" w:ascii="inter" w:hAnsi="inter"/>
          <w:color w:val="000000"/>
          <w:sz w:val="21"/>
        </w:rPr>
        <w:t xml:space="preserve">: Decisions made through proper multisig governance procedures protected from liability absent bad faith or conflicts of interest</w:t>
      </w:r>
    </w:p>
    <w:p>
      <w:pPr>
        <w:numPr>
          <w:ilvl w:val="0"/>
          <w:numId w:val="26"/>
        </w:numPr>
        <w:spacing w:line="360" w:before="105" w:after="105" w:lineRule="auto"/>
      </w:pPr>
      <w:r>
        <w:rPr>
          <w:rFonts w:eastAsia="inter" w:cs="inter" w:ascii="inter" w:hAnsi="inter"/>
          <w:b/>
          <w:color w:val="000000"/>
          <w:sz w:val="21"/>
        </w:rPr>
        <w:t xml:space="preserve">Transfer Restrictions</w:t>
      </w:r>
      <w:r>
        <w:rPr>
          <w:rFonts w:eastAsia="inter" w:cs="inter" w:ascii="inter" w:hAnsi="inter"/>
          <w:color w:val="000000"/>
          <w:sz w:val="21"/>
        </w:rPr>
        <w:t xml:space="preserve">: MECO membership interests restricted to verified MEID holders within C3 Alliance ecosystem</w:t>
      </w:r>
    </w:p>
    <w:p>
      <w:pPr>
        <w:numPr>
          <w:ilvl w:val="0"/>
          <w:numId w:val="26"/>
        </w:numPr>
        <w:spacing w:line="360" w:before="105" w:after="105" w:lineRule="auto"/>
      </w:pPr>
      <w:r>
        <w:rPr>
          <w:rFonts w:eastAsia="inter" w:cs="inter" w:ascii="inter" w:hAnsi="inter"/>
          <w:b/>
          <w:color w:val="000000"/>
          <w:sz w:val="21"/>
        </w:rPr>
        <w:t xml:space="preserve">Exit Limitations</w:t>
      </w:r>
      <w:r>
        <w:rPr>
          <w:rFonts w:eastAsia="inter" w:cs="inter" w:ascii="inter" w:hAnsi="inter"/>
          <w:color w:val="000000"/>
          <w:sz w:val="21"/>
        </w:rPr>
        <w:t xml:space="preserve">: Member departure subject to operational continuity requirements and fair valuation procedures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DISSOLUTION AND BUSINESS CONTINUITY</w:t>
      </w:r>
    </w:p>
    <w:p>
      <w:pPr>
        <w:spacing w:line="360" w:before="315" w:after="105" w:lineRule="auto"/>
        <w:ind w:left="-30"/>
        <w:jc w:val="left"/>
      </w:pPr>
      <w:r>
        <w:rPr>
          <w:rFonts w:eastAsia="inter" w:cs="inter" w:ascii="inter" w:hAnsi="inter"/>
          <w:b/>
          <w:color w:val="000000"/>
          <w:sz w:val="24"/>
        </w:rPr>
        <w:t xml:space="preserve">10.1 Dissolution Events</w:t>
      </w:r>
    </w:p>
    <w:p>
      <w:pPr>
        <w:spacing w:line="360" w:after="210" w:lineRule="auto"/>
      </w:pPr>
      <w:r>
        <w:rPr>
          <w:rFonts w:eastAsia="inter" w:cs="inter" w:ascii="inter" w:hAnsi="inter"/>
          <w:color w:val="000000"/>
        </w:rPr>
        <w:t xml:space="preserve">This MECO DAO LLC shall dissolve upon:</w:t>
      </w:r>
    </w:p>
    <w:p>
      <w:pPr>
        <w:numPr>
          <w:ilvl w:val="0"/>
          <w:numId w:val="27"/>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All founding members agree to business termination</w:t>
      </w:r>
    </w:p>
    <w:p>
      <w:pPr>
        <w:numPr>
          <w:ilvl w:val="0"/>
          <w:numId w:val="27"/>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Impact Offers or generate revenue for [time period]</w:t>
      </w:r>
    </w:p>
    <w:p>
      <w:pPr>
        <w:numPr>
          <w:ilvl w:val="0"/>
          <w:numId w:val="27"/>
        </w:numPr>
        <w:spacing w:line="360" w:before="105" w:after="105" w:lineRule="auto"/>
      </w:pPr>
      <w:r>
        <w:rPr>
          <w:rFonts w:eastAsia="inter" w:cs="inter" w:ascii="inter" w:hAnsi="inter"/>
          <w:b/>
          <w:color w:val="000000"/>
          <w:sz w:val="21"/>
        </w:rPr>
        <w:t xml:space="preserve">Founding Member Departure</w:t>
      </w:r>
      <w:r>
        <w:rPr>
          <w:rFonts w:eastAsia="inter" w:cs="inter" w:ascii="inter" w:hAnsi="inter"/>
          <w:color w:val="000000"/>
          <w:sz w:val="21"/>
        </w:rPr>
        <w:t xml:space="preserve">: Reduction below minimum founding member threshold without replacement</w:t>
      </w:r>
    </w:p>
    <w:p>
      <w:pPr>
        <w:numPr>
          <w:ilvl w:val="0"/>
          <w:numId w:val="27"/>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Fundamental breach of C3 Alliance standards that cannot be remediated</w:t>
      </w:r>
    </w:p>
    <w:p>
      <w:pPr>
        <w:numPr>
          <w:ilvl w:val="0"/>
          <w:numId w:val="27"/>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business continuation</w:t>
      </w:r>
    </w:p>
    <w:p>
      <w:pPr>
        <w:spacing w:line="360" w:before="315" w:after="105" w:lineRule="auto"/>
        <w:ind w:left="-30"/>
        <w:jc w:val="left"/>
      </w:pPr>
      <w:r>
        <w:rPr>
          <w:rFonts w:eastAsia="inter" w:cs="inter" w:ascii="inter" w:hAnsi="inter"/>
          <w:b/>
          <w:color w:val="000000"/>
          <w:sz w:val="24"/>
        </w:rPr>
        <w:t xml:space="preserve">10.2 Asset Distribution and Business Wind-Up</w:t>
      </w:r>
    </w:p>
    <w:p>
      <w:pPr>
        <w:spacing w:line="360" w:after="210" w:lineRule="auto"/>
      </w:pPr>
      <w:r>
        <w:rPr>
          <w:rFonts w:eastAsia="inter" w:cs="inter" w:ascii="inter" w:hAnsi="inter"/>
          <w:b/>
          <w:color w:val="000000"/>
        </w:rPr>
        <w:t xml:space="preserve">Dissolution Procedures:</w:t>
      </w:r>
    </w:p>
    <w:p>
      <w:pPr>
        <w:numPr>
          <w:ilvl w:val="0"/>
          <w:numId w:val="28"/>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Impact Offer commitments and client obligations</w:t>
      </w:r>
    </w:p>
    <w:p>
      <w:pPr>
        <w:numPr>
          <w:ilvl w:val="0"/>
          <w:numId w:val="28"/>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JULZ tokens)</w:t>
      </w:r>
    </w:p>
    <w:p>
      <w:pPr>
        <w:numPr>
          <w:ilvl w:val="0"/>
          <w:numId w:val="28"/>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and regulatory obligations</w:t>
      </w:r>
    </w:p>
    <w:p>
      <w:pPr>
        <w:numPr>
          <w:ilvl w:val="0"/>
          <w:numId w:val="28"/>
        </w:numPr>
        <w:spacing w:line="360" w:before="105" w:after="105" w:lineRule="auto"/>
      </w:pPr>
      <w:r>
        <w:rPr>
          <w:rFonts w:eastAsia="inter" w:cs="inter" w:ascii="inter" w:hAnsi="inter"/>
          <w:b/>
          <w:color w:val="000000"/>
          <w:sz w:val="21"/>
        </w:rPr>
        <w:t xml:space="preserve">Member Distribution</w:t>
      </w:r>
      <w:r>
        <w:rPr>
          <w:rFonts w:eastAsia="inter" w:cs="inter" w:ascii="inter" w:hAnsi="inter"/>
          <w:color w:val="000000"/>
          <w:sz w:val="21"/>
        </w:rPr>
        <w:t xml:space="preserve">: Remaining assets distributed to founding members according to equity allocation</w:t>
      </w:r>
    </w:p>
    <w:p>
      <w:pPr>
        <w:spacing w:line="360" w:after="210" w:lineRule="auto"/>
      </w:pPr>
      <w:r>
        <w:rPr>
          <w:rFonts w:eastAsia="inter" w:cs="inter" w:ascii="inter" w:hAnsi="inter"/>
          <w:b/>
          <w:color w:val="000000"/>
        </w:rPr>
        <w:t xml:space="preserve">Intellectual Property Disposition:</w:t>
      </w:r>
    </w:p>
    <w:p>
      <w:pPr>
        <w:numPr>
          <w:ilvl w:val="0"/>
          <w:numId w:val="29"/>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Transfer of ownership to clients according to contract terms</w:t>
      </w:r>
    </w:p>
    <w:p>
      <w:pPr>
        <w:numPr>
          <w:ilvl w:val="0"/>
          <w:numId w:val="29"/>
        </w:numPr>
        <w:spacing w:line="360" w:before="105" w:after="105" w:lineRule="auto"/>
      </w:pPr>
      <w:r>
        <w:rPr>
          <w:rFonts w:eastAsia="inter" w:cs="inter" w:ascii="inter" w:hAnsi="inter"/>
          <w:b/>
          <w:color w:val="000000"/>
          <w:sz w:val="21"/>
        </w:rPr>
        <w:t xml:space="preserve">Proprietary Methodologies</w:t>
      </w:r>
      <w:r>
        <w:rPr>
          <w:rFonts w:eastAsia="inter" w:cs="inter" w:ascii="inter" w:hAnsi="inter"/>
          <w:color w:val="000000"/>
          <w:sz w:val="21"/>
        </w:rPr>
        <w:t xml:space="preserve">: Open source release to C3 Alliance commons where beneficial to ecosystem</w:t>
      </w:r>
    </w:p>
    <w:p>
      <w:pPr>
        <w:numPr>
          <w:ilvl w:val="0"/>
          <w:numId w:val="29"/>
        </w:numPr>
        <w:spacing w:line="360" w:before="105" w:after="105" w:lineRule="auto"/>
      </w:pPr>
      <w:r>
        <w:rPr>
          <w:rFonts w:eastAsia="inter" w:cs="inter" w:ascii="inter" w:hAnsi="inter"/>
          <w:b/>
          <w:color w:val="000000"/>
          <w:sz w:val="21"/>
        </w:rPr>
        <w:t xml:space="preserve">Trade Secrets</w:t>
      </w:r>
      <w:r>
        <w:rPr>
          <w:rFonts w:eastAsia="inter" w:cs="inter" w:ascii="inter" w:hAnsi="inter"/>
          <w:color w:val="000000"/>
          <w:sz w:val="21"/>
        </w:rPr>
        <w:t xml:space="preserve">: Protection and appropriate disposition to prevent competitive harm to Alliance members</w:t>
      </w:r>
    </w:p>
    <w:p>
      <w:pPr>
        <w:spacing w:line="360" w:before="315" w:after="105" w:lineRule="auto"/>
        <w:ind w:left="-30"/>
        <w:jc w:val="left"/>
      </w:pPr>
      <w:r>
        <w:rPr>
          <w:rFonts w:eastAsia="inter" w:cs="inter" w:ascii="inter" w:hAnsi="inter"/>
          <w:b/>
          <w:color w:val="000000"/>
          <w:sz w:val="24"/>
        </w:rPr>
        <w:t xml:space="preserve">10.3 Business Continuity Planning</w:t>
      </w:r>
    </w:p>
    <w:p>
      <w:pPr>
        <w:spacing w:line="360" w:after="210" w:lineRule="auto"/>
      </w:pPr>
      <w:r>
        <w:rPr>
          <w:rFonts w:eastAsia="inter" w:cs="inter" w:ascii="inter" w:hAnsi="inter"/>
          <w:b/>
          <w:color w:val="000000"/>
        </w:rPr>
        <w:t xml:space="preserve">Operational Resilience:</w:t>
      </w:r>
    </w:p>
    <w:p>
      <w:pPr>
        <w:numPr>
          <w:ilvl w:val="0"/>
          <w:numId w:val="30"/>
        </w:numPr>
        <w:spacing w:line="360" w:before="105" w:after="105" w:lineRule="auto"/>
      </w:pPr>
      <w:r>
        <w:rPr>
          <w:rFonts w:eastAsia="inter" w:cs="inter" w:ascii="inter" w:hAnsi="inter"/>
          <w:b/>
          <w:color w:val="000000"/>
          <w:sz w:val="21"/>
        </w:rPr>
        <w:t xml:space="preserve">Key Person Risk</w:t>
      </w:r>
      <w:r>
        <w:rPr>
          <w:rFonts w:eastAsia="inter" w:cs="inter" w:ascii="inter" w:hAnsi="inter"/>
          <w:color w:val="000000"/>
          <w:sz w:val="21"/>
        </w:rPr>
        <w:t xml:space="preserve">: Cross-training and documentation to prevent single points of failure</w:t>
      </w:r>
    </w:p>
    <w:p>
      <w:pPr>
        <w:numPr>
          <w:ilvl w:val="0"/>
          <w:numId w:val="30"/>
        </w:numPr>
        <w:spacing w:line="360" w:before="105" w:after="105" w:lineRule="auto"/>
      </w:pPr>
      <w:r>
        <w:rPr>
          <w:rFonts w:eastAsia="inter" w:cs="inter" w:ascii="inter" w:hAnsi="inter"/>
          <w:b/>
          <w:color w:val="000000"/>
          <w:sz w:val="21"/>
        </w:rPr>
        <w:t xml:space="preserve">Emergency Procedures</w:t>
      </w:r>
      <w:r>
        <w:rPr>
          <w:rFonts w:eastAsia="inter" w:cs="inter" w:ascii="inter" w:hAnsi="inter"/>
          <w:color w:val="000000"/>
          <w:sz w:val="21"/>
        </w:rPr>
        <w:t xml:space="preserve">: Protocols for founding member incapacity or unavailability</w:t>
      </w:r>
    </w:p>
    <w:p>
      <w:pPr>
        <w:numPr>
          <w:ilvl w:val="0"/>
          <w:numId w:val="30"/>
        </w:numPr>
        <w:spacing w:line="360" w:before="105" w:after="105" w:lineRule="auto"/>
      </w:pPr>
      <w:r>
        <w:rPr>
          <w:rFonts w:eastAsia="inter" w:cs="inter" w:ascii="inter" w:hAnsi="inter"/>
          <w:b/>
          <w:color w:val="000000"/>
          <w:sz w:val="21"/>
        </w:rPr>
        <w:t xml:space="preserve">Client Transition</w:t>
      </w:r>
      <w:r>
        <w:rPr>
          <w:rFonts w:eastAsia="inter" w:cs="inter" w:ascii="inter" w:hAnsi="inter"/>
          <w:color w:val="000000"/>
          <w:sz w:val="21"/>
        </w:rPr>
        <w:t xml:space="preserve">: Procedures for service delivery continuation during organizational changes</w:t>
      </w:r>
    </w:p>
    <w:p>
      <w:pPr>
        <w:numPr>
          <w:ilvl w:val="0"/>
          <w:numId w:val="30"/>
        </w:numPr>
        <w:spacing w:line="360" w:before="105" w:after="105" w:lineRule="auto"/>
      </w:pPr>
      <w:r>
        <w:rPr>
          <w:rFonts w:eastAsia="inter" w:cs="inter" w:ascii="inter" w:hAnsi="inter"/>
          <w:b/>
          <w:color w:val="000000"/>
          <w:sz w:val="21"/>
        </w:rPr>
        <w:t xml:space="preserve">Alliance Integration</w:t>
      </w:r>
      <w:r>
        <w:rPr>
          <w:rFonts w:eastAsia="inter" w:cs="inter" w:ascii="inter" w:hAnsi="inter"/>
          <w:color w:val="000000"/>
          <w:sz w:val="21"/>
        </w:rPr>
        <w:t xml:space="preserve">: Coordination with other MECOs for business continuity and knowledge transfer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ORGANIZER INFORMATION AND FORMATION</w:t>
      </w:r>
    </w:p>
    <w:p>
      <w:pPr>
        <w:spacing w:line="360" w:before="315" w:after="105" w:lineRule="auto"/>
        <w:ind w:left="-30"/>
        <w:jc w:val="left"/>
      </w:pPr>
      <w:r>
        <w:rPr>
          <w:rFonts w:eastAsia="inter" w:cs="inter" w:ascii="inter" w:hAnsi="inter"/>
          <w:b/>
          <w:color w:val="000000"/>
          <w:sz w:val="24"/>
        </w:rPr>
        <w:t xml:space="preserve">11.1 Organizer Details</w:t>
      </w:r>
    </w:p>
    <w:p>
      <w:pPr>
        <w:spacing w:line="360" w:after="210" w:lineRule="auto"/>
      </w:pPr>
      <w:r>
        <w:rPr>
          <w:rFonts w:eastAsia="inter" w:cs="inter" w:ascii="inter" w:hAnsi="inter"/>
          <w:b/>
          <w:color w:val="000000"/>
        </w:rPr>
        <w:t xml:space="preserve">Primary Organizer:</w:t>
      </w:r>
      <w:r>
        <w:rPr>
          <w:rFonts w:eastAsia="inter" w:cs="inter" w:ascii="inter" w:hAnsi="inter"/>
          <w:color w:val="000000"/>
        </w:rPr>
        <w:t xml:space="preserve"> [Founding Member Name]</w:t>
      </w:r>
      <w:r>
        <w:rPr>
          <w:rFonts w:eastAsia="inter" w:cs="inter" w:ascii="inter" w:hAnsi="inter"/>
          <w:color w:val="000000"/>
        </w:rPr>
        <w:br w:type="textWrapping"/>
      </w:r>
      <w:r>
        <w:rPr>
          <w:rFonts w:eastAsia="inter" w:cs="inter" w:ascii="inter" w:hAnsi="inter"/>
          <w:b/>
          <w:color w:val="000000"/>
        </w:rPr>
        <w:t xml:space="preserve">Title:</w:t>
      </w:r>
      <w:r>
        <w:rPr>
          <w:rFonts w:eastAsia="inter" w:cs="inter" w:ascii="inter" w:hAnsi="inter"/>
          <w:color w:val="000000"/>
        </w:rPr>
        <w:t xml:space="preserve"> Founding Member and Initial Organizer</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[Complete Address]</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[Phone Number]</w:t>
      </w:r>
      <w:r>
        <w:rPr>
          <w:rFonts w:eastAsia="inter" w:cs="inter" w:ascii="inter" w:hAnsi="inter"/>
          <w:color w:val="000000"/>
        </w:rPr>
        <w:br w:type="textWrapping"/>
      </w:r>
      <w:r>
        <w:rPr>
          <w:rFonts w:eastAsia="inter" w:cs="inter" w:ascii="inter" w:hAnsi="inter"/>
          <w:b/>
          <w:color w:val="000000"/>
        </w:rPr>
        <w:t xml:space="preserve">Email:</w:t>
      </w:r>
      <w:r>
        <w:rPr>
          <w:rFonts w:eastAsia="inter" w:cs="inter" w:ascii="inter" w:hAnsi="inter"/>
          <w:color w:val="000000"/>
        </w:rPr>
        <w:t xml:space="preserve"> [Email Address]</w:t>
      </w:r>
      <w:r>
        <w:rPr>
          <w:rFonts w:eastAsia="inter" w:cs="inter" w:ascii="inter" w:hAnsi="inter"/>
          <w:color w:val="000000"/>
        </w:rPr>
        <w:br w:type="textWrapping"/>
      </w:r>
      <w:r>
        <w:rPr>
          <w:rFonts w:eastAsia="inter" w:cs="inter" w:ascii="inter" w:hAnsi="inter"/>
          <w:b/>
          <w:color w:val="000000"/>
        </w:rPr>
        <w:t xml:space="preserve">MEID:</w:t>
      </w:r>
      <w:r>
        <w:rPr>
          <w:rFonts w:eastAsia="inter" w:cs="inter" w:ascii="inter" w:hAnsi="inter"/>
          <w:color w:val="000000"/>
        </w:rPr>
        <w:t xml:space="preserve"> [MEID Identifier confirming C3 Alliance membership]</w:t>
      </w:r>
    </w:p>
    <w:p>
      <w:pPr>
        <w:spacing w:line="360" w:before="315" w:after="105" w:lineRule="auto"/>
        <w:ind w:left="-30"/>
        <w:jc w:val="left"/>
      </w:pPr>
      <w:r>
        <w:rPr>
          <w:rFonts w:eastAsia="inter" w:cs="inter" w:ascii="inter" w:hAnsi="inter"/>
          <w:b/>
          <w:color w:val="000000"/>
          <w:sz w:val="24"/>
        </w:rPr>
        <w:t xml:space="preserve">11.2 Formation Authority and Certification</w:t>
      </w:r>
    </w:p>
    <w:p>
      <w:pPr>
        <w:spacing w:line="360" w:after="210" w:lineRule="auto"/>
      </w:pPr>
      <w:r>
        <w:rPr>
          <w:rFonts w:eastAsia="inter" w:cs="inter" w:ascii="inter" w:hAnsi="inter"/>
          <w:color w:val="000000"/>
        </w:rPr>
        <w:t xml:space="preserve">The undersigned organizer certifies that:</w:t>
      </w:r>
    </w:p>
    <w:p>
      <w:pPr>
        <w:numPr>
          <w:ilvl w:val="0"/>
          <w:numId w:val="31"/>
        </w:numPr>
        <w:spacing w:line="360" w:before="105" w:after="105" w:lineRule="auto"/>
      </w:pPr>
      <w:r>
        <w:rPr>
          <w:rFonts w:eastAsia="inter" w:cs="inter" w:ascii="inter" w:hAnsi="inter"/>
          <w:color w:val="000000"/>
          <w:sz w:val="21"/>
        </w:rPr>
        <w:t xml:space="preserve">All founding members meet MECO requirements and C3 Alliance standards</w:t>
      </w:r>
    </w:p>
    <w:p>
      <w:pPr>
        <w:numPr>
          <w:ilvl w:val="0"/>
          <w:numId w:val="31"/>
        </w:numPr>
        <w:spacing w:line="360" w:before="105" w:after="105" w:lineRule="auto"/>
      </w:pPr>
      <w:r>
        <w:rPr>
          <w:rFonts w:eastAsia="inter" w:cs="inter" w:ascii="inter" w:hAnsi="inter"/>
          <w:color w:val="000000"/>
          <w:sz w:val="21"/>
        </w:rPr>
        <w:t xml:space="preserve">Business plan aligns with cooperative principles and service delivery capabilities</w:t>
      </w:r>
    </w:p>
    <w:p>
      <w:pPr>
        <w:numPr>
          <w:ilvl w:val="0"/>
          <w:numId w:val="31"/>
        </w:numPr>
        <w:spacing w:line="360" w:before="105" w:after="105" w:lineRule="auto"/>
      </w:pPr>
      <w:r>
        <w:rPr>
          <w:rFonts w:eastAsia="inter" w:cs="inter" w:ascii="inter" w:hAnsi="inter"/>
          <w:color w:val="000000"/>
          <w:sz w:val="21"/>
        </w:rPr>
        <w:t xml:space="preserve">Technical infrastructure including multisig wallet and smart contract integration is feasible</w:t>
      </w:r>
    </w:p>
    <w:p>
      <w:pPr>
        <w:numPr>
          <w:ilvl w:val="0"/>
          <w:numId w:val="31"/>
        </w:numPr>
        <w:spacing w:line="360" w:before="105" w:after="105" w:lineRule="auto"/>
      </w:pPr>
      <w:r>
        <w:rPr>
          <w:rFonts w:eastAsia="inter" w:cs="inter" w:ascii="inter" w:hAnsi="inter"/>
          <w:color w:val="000000"/>
          <w:sz w:val="21"/>
        </w:rPr>
        <w:t xml:space="preserve">Compliance with Wyoming DAO LLC requirements and applicable business regulations</w:t>
      </w:r>
    </w:p>
    <w:p>
      <w:pPr>
        <w:spacing w:line="360" w:before="315" w:after="105" w:lineRule="auto"/>
        <w:ind w:left="-30"/>
        <w:jc w:val="left"/>
      </w:pPr>
      <w:r>
        <w:rPr>
          <w:rFonts w:eastAsia="inter" w:cs="inter" w:ascii="inter" w:hAnsi="inter"/>
          <w:b/>
          <w:color w:val="000000"/>
          <w:sz w:val="24"/>
        </w:rPr>
        <w:t xml:space="preserve">11.3 Implementation Timeline</w:t>
      </w:r>
    </w:p>
    <w:p>
      <w:pPr>
        <w:spacing w:line="360" w:after="210" w:lineRule="auto"/>
      </w:pPr>
      <w:r>
        <w:rPr>
          <w:rFonts w:eastAsia="inter" w:cs="inter" w:ascii="inter" w:hAnsi="inter"/>
          <w:b/>
          <w:color w:val="000000"/>
        </w:rPr>
        <w:t xml:space="preserve">MECO Development Schedule:</w:t>
      </w:r>
    </w:p>
    <w:p>
      <w:pPr>
        <w:numPr>
          <w:ilvl w:val="0"/>
          <w:numId w:val="32"/>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registered agent appointment, and EIN acquisition</w:t>
      </w:r>
    </w:p>
    <w:p>
      <w:pPr>
        <w:numPr>
          <w:ilvl w:val="0"/>
          <w:numId w:val="32"/>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Multisig wallet deployment, smart contract integration, and MECO DID registration</w:t>
      </w:r>
    </w:p>
    <w:p>
      <w:pPr>
        <w:numPr>
          <w:ilvl w:val="0"/>
          <w:numId w:val="32"/>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C3 Alliance registration, CapX marketplace integration, and service capability demonstration</w:t>
      </w:r>
    </w:p>
    <w:p>
      <w:pPr>
        <w:numPr>
          <w:ilvl w:val="0"/>
          <w:numId w:val="32"/>
        </w:numPr>
        <w:spacing w:line="360" w:before="105" w:after="105" w:lineRule="auto"/>
      </w:pPr>
      <w:r>
        <w:rPr>
          <w:rFonts w:eastAsia="inter" w:cs="inter" w:ascii="inter" w:hAnsi="inter"/>
          <w:b/>
          <w:color w:val="000000"/>
          <w:sz w:val="21"/>
        </w:rPr>
        <w:t xml:space="preserve">Phase 4 (90+ days)</w:t>
      </w:r>
      <w:r>
        <w:rPr>
          <w:rFonts w:eastAsia="inter" w:cs="inter" w:ascii="inter" w:hAnsi="inter"/>
          <w:color w:val="000000"/>
          <w:sz w:val="21"/>
        </w:rPr>
        <w:t xml:space="preserve">: Active bidding on Impact Offers and full operational service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b/>
          <w:color w:val="000000"/>
        </w:rPr>
        <w:t xml:space="preserve">Additional Founding Member Acknowledgments:</w:t>
      </w:r>
    </w:p>
    <w:p>
      <w:pPr>
        <w:spacing w:line="360" w:after="210" w:lineRule="auto"/>
      </w:pPr>
      <w:r>
        <w:rPr>
          <w:rFonts w:eastAsia="inter" w:cs="inter" w:ascii="inter" w:hAnsi="inter"/>
          <w:b/>
          <w:color w:val="000000"/>
        </w:rPr>
        <w:t xml:space="preserve">Founding Member #2:</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w:t>
      </w:r>
    </w:p>
    <w:p>
      <w:pPr>
        <w:spacing w:line="360" w:after="210" w:lineRule="auto"/>
      </w:pPr>
      <w:r>
        <w:rPr>
          <w:rFonts w:eastAsia="inter" w:cs="inter" w:ascii="inter" w:hAnsi="inter"/>
          <w:b/>
          <w:color w:val="000000"/>
        </w:rPr>
        <w:t xml:space="preserve">[Additional signatures as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[Organizer Name and Additional Founding Members], who proved to me on the basis of satisfactory evidence to be the persons whose names are subscribed to the within instrument and acknowledged to me that they executed the same in their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 AND NEXT STEPS</w:t>
      </w:r>
    </w:p>
    <w:p>
      <w:pPr>
        <w:spacing w:line="360" w:before="315" w:after="105" w:lineRule="auto"/>
        <w:ind w:left="-30"/>
        <w:jc w:val="left"/>
      </w:pPr>
      <w:r>
        <w:rPr>
          <w:rFonts w:eastAsia="inter" w:cs="inter" w:ascii="inter" w:hAnsi="inter"/>
          <w:b/>
          <w:color w:val="000000"/>
          <w:sz w:val="24"/>
        </w:rPr>
        <w:t xml:space="preserve">Required Documents for Wyoming Secretary of State:</w:t>
      </w:r>
    </w:p>
    <w:p>
      <w:pPr>
        <w:numPr>
          <w:ilvl w:val="0"/>
          <w:numId w:val="33"/>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document)</w:t>
      </w:r>
    </w:p>
    <w:p>
      <w:pPr>
        <w:numPr>
          <w:ilvl w:val="0"/>
          <w:numId w:val="33"/>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33"/>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before="315" w:after="105" w:lineRule="auto"/>
        <w:ind w:left="-30"/>
        <w:jc w:val="left"/>
      </w:pPr>
      <w:r>
        <w:rPr>
          <w:rFonts w:eastAsia="inter" w:cs="inter" w:ascii="inter" w:hAnsi="inter"/>
          <w:b/>
          <w:color w:val="000000"/>
          <w:sz w:val="24"/>
        </w:rPr>
        <w:t xml:space="preserve">Post-Formation Requirements:</w:t>
      </w:r>
    </w:p>
    <w:p>
      <w:pPr>
        <w:numPr>
          <w:ilvl w:val="0"/>
          <w:numId w:val="34"/>
        </w:numPr>
        <w:spacing w:line="360" w:before="105" w:after="105" w:lineRule="auto"/>
      </w:pPr>
      <w:r>
        <w:rPr>
          <w:rFonts w:eastAsia="inter" w:cs="inter" w:ascii="inter" w:hAnsi="inter"/>
          <w:b/>
          <w:color w:val="000000"/>
          <w:sz w:val="21"/>
        </w:rPr>
        <w:t xml:space="preserve">Federal EIN Application</w:t>
      </w:r>
      <w:r>
        <w:rPr>
          <w:rFonts w:eastAsia="inter" w:cs="inter" w:ascii="inter" w:hAnsi="inter"/>
          <w:color w:val="000000"/>
          <w:sz w:val="21"/>
        </w:rPr>
        <w:t xml:space="preserve">: Obtain Employer Identification Number from IRS</w:t>
      </w:r>
    </w:p>
    <w:p>
      <w:pPr>
        <w:numPr>
          <w:ilvl w:val="0"/>
          <w:numId w:val="34"/>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Adopt detailed operational procedures and governance protocols</w:t>
      </w:r>
    </w:p>
    <w:p>
      <w:pPr>
        <w:numPr>
          <w:ilvl w:val="0"/>
          <w:numId w:val="34"/>
        </w:numPr>
        <w:spacing w:line="360" w:before="105" w:after="105" w:lineRule="auto"/>
      </w:pPr>
      <w:r>
        <w:rPr>
          <w:rFonts w:eastAsia="inter" w:cs="inter" w:ascii="inter" w:hAnsi="inter"/>
          <w:b/>
          <w:color w:val="000000"/>
          <w:sz w:val="21"/>
        </w:rPr>
        <w:t xml:space="preserve">Multisig Wallet Deployment</w:t>
      </w:r>
      <w:r>
        <w:rPr>
          <w:rFonts w:eastAsia="inter" w:cs="inter" w:ascii="inter" w:hAnsi="inter"/>
          <w:color w:val="000000"/>
          <w:sz w:val="21"/>
        </w:rPr>
        <w:t xml:space="preserve">: Implement cryptographic treasury management system</w:t>
      </w:r>
    </w:p>
    <w:p>
      <w:pPr>
        <w:numPr>
          <w:ilvl w:val="0"/>
          <w:numId w:val="34"/>
        </w:numPr>
        <w:spacing w:line="360" w:before="105" w:after="105" w:lineRule="auto"/>
      </w:pPr>
      <w:r>
        <w:rPr>
          <w:rFonts w:eastAsia="inter" w:cs="inter" w:ascii="inter" w:hAnsi="inter"/>
          <w:b/>
          <w:color w:val="000000"/>
          <w:sz w:val="21"/>
        </w:rPr>
        <w:t xml:space="preserve">C3 Alliance Registration</w:t>
      </w:r>
      <w:r>
        <w:rPr>
          <w:rFonts w:eastAsia="inter" w:cs="inter" w:ascii="inter" w:hAnsi="inter"/>
          <w:color w:val="000000"/>
          <w:sz w:val="21"/>
        </w:rPr>
        <w:t xml:space="preserve">: Register as Class B MECO member with Alliance</w:t>
      </w:r>
    </w:p>
    <w:p>
      <w:pPr>
        <w:numPr>
          <w:ilvl w:val="0"/>
          <w:numId w:val="34"/>
        </w:numPr>
        <w:spacing w:line="360" w:before="105" w:after="105" w:lineRule="auto"/>
      </w:pPr>
      <w:r>
        <w:rPr>
          <w:rFonts w:eastAsia="inter" w:cs="inter" w:ascii="inter" w:hAnsi="inter"/>
          <w:b/>
          <w:color w:val="000000"/>
          <w:sz w:val="21"/>
        </w:rPr>
        <w:t xml:space="preserve">CapX Integration</w:t>
      </w:r>
      <w:r>
        <w:rPr>
          <w:rFonts w:eastAsia="inter" w:cs="inter" w:ascii="inter" w:hAnsi="inter"/>
          <w:color w:val="000000"/>
          <w:sz w:val="21"/>
        </w:rPr>
        <w:t xml:space="preserve">: Set up marketplace access for Impact Offer bidding</w:t>
      </w:r>
    </w:p>
    <w:p>
      <w:pPr>
        <w:numPr>
          <w:ilvl w:val="0"/>
          <w:numId w:val="34"/>
        </w:numPr>
        <w:spacing w:line="360" w:before="105" w:after="105" w:lineRule="auto"/>
      </w:pPr>
      <w:r>
        <w:rPr>
          <w:rFonts w:eastAsia="inter" w:cs="inter" w:ascii="inter" w:hAnsi="inter"/>
          <w:b/>
          <w:color w:val="000000"/>
          <w:sz w:val="21"/>
        </w:rPr>
        <w:t xml:space="preserve">Service Capability Documentation</w:t>
      </w:r>
      <w:r>
        <w:rPr>
          <w:rFonts w:eastAsia="inter" w:cs="inter" w:ascii="inter" w:hAnsi="inter"/>
          <w:color w:val="000000"/>
          <w:sz w:val="21"/>
        </w:rPr>
        <w:t xml:space="preserve">: Prepare portfolio and credentials for competitive bidding</w:t>
      </w:r>
    </w:p>
    <w:p>
      <w:pPr>
        <w:spacing w:line="360" w:before="315" w:after="105" w:lineRule="auto"/>
        <w:ind w:left="-30"/>
        <w:jc w:val="left"/>
      </w:pPr>
      <w:r>
        <w:rPr>
          <w:rFonts w:eastAsia="inter" w:cs="inter" w:ascii="inter" w:hAnsi="inter"/>
          <w:b/>
          <w:color w:val="000000"/>
          <w:sz w:val="24"/>
        </w:rPr>
        <w:t xml:space="preserve">Business License and Compliance:</w:t>
      </w:r>
    </w:p>
    <w:p>
      <w:pPr>
        <w:numPr>
          <w:ilvl w:val="0"/>
          <w:numId w:val="35"/>
        </w:numPr>
        <w:spacing w:line="360" w:before="105" w:after="105" w:lineRule="auto"/>
      </w:pPr>
      <w:r>
        <w:rPr>
          <w:rFonts w:eastAsia="inter" w:cs="inter" w:ascii="inter" w:hAnsi="inter"/>
          <w:color w:val="000000"/>
          <w:sz w:val="21"/>
        </w:rPr>
        <w:t xml:space="preserve">State and local business licenses as required for service delivery</w:t>
      </w:r>
    </w:p>
    <w:p>
      <w:pPr>
        <w:numPr>
          <w:ilvl w:val="0"/>
          <w:numId w:val="35"/>
        </w:numPr>
        <w:spacing w:line="360" w:before="105" w:after="105" w:lineRule="auto"/>
      </w:pPr>
      <w:r>
        <w:rPr>
          <w:rFonts w:eastAsia="inter" w:cs="inter" w:ascii="inter" w:hAnsi="inter"/>
          <w:color w:val="000000"/>
          <w:sz w:val="21"/>
        </w:rPr>
        <w:t xml:space="preserve">Professional licenses for regulated service areas (legal, accounting, etc.)</w:t>
      </w:r>
    </w:p>
    <w:p>
      <w:pPr>
        <w:numPr>
          <w:ilvl w:val="0"/>
          <w:numId w:val="35"/>
        </w:numPr>
        <w:spacing w:line="360" w:before="105" w:after="105" w:lineRule="auto"/>
      </w:pPr>
      <w:r>
        <w:rPr>
          <w:rFonts w:eastAsia="inter" w:cs="inter" w:ascii="inter" w:hAnsi="inter"/>
          <w:color w:val="000000"/>
          <w:sz w:val="21"/>
        </w:rPr>
        <w:t xml:space="preserve">Sales tax registration for applicable jurisdictions</w:t>
      </w:r>
    </w:p>
    <w:p>
      <w:pPr>
        <w:numPr>
          <w:ilvl w:val="0"/>
          <w:numId w:val="35"/>
        </w:numPr>
        <w:spacing w:line="360" w:before="105" w:after="105" w:lineRule="auto"/>
      </w:pPr>
      <w:r>
        <w:rPr>
          <w:rFonts w:eastAsia="inter" w:cs="inter" w:ascii="inter" w:hAnsi="inter"/>
          <w:color w:val="000000"/>
          <w:sz w:val="21"/>
        </w:rPr>
        <w:t xml:space="preserve">Insurance coverage appropriate for business activities and liability exposure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Articles of Organization for MECO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Business Classification:</w:t>
      </w:r>
      <w:r>
        <w:rPr>
          <w:rFonts w:eastAsia="inter" w:cs="inter" w:ascii="inter" w:hAnsi="inter"/>
          <w:color w:val="000000"/>
        </w:rPr>
        <w:t xml:space="preserve"> Member Entity Company (MECO) within C3 Alliance</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C3 Alliance MECO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1.0 Draft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6,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template provides the legal foundation for MECO formation as Wyoming DAO LLCs with multi-member management and multisig governance, enabling professional service delivery within the C3 Alliance ecosystem while maintaining compliance with Wyoming law and cooperative principles.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2025-09-06T16:45:14.902Z</dcterms:created>
  <dcterms:modified xsi:type="dcterms:W3CDTF">2025-09-06T16:45:14.902Z</dcterms:modified>
</cp:coreProperties>
</file>