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Whitepaper Version 2.1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0. Introduction: The Vision of Cosmic Commons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exists to empower sovereign entities—Cosmic Commoners—by providing core infrastructure, governance frameworks, and DApp tooling for personal and collective evolution. Our mission is to deliver sovereignty as a service through modular, privacy-first, and universally interoperable technology.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Journey Builder Ecosystem Overview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(See C3-Journey-Builder-Whitepaper Section 1 for full details)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Major Arcana-driven Journey &gt; Quest &gt; Mission &gt; Offer structure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Platform operates on Cardano (L1 anchor), Cosmos (IBC), Hydra (scaling), Midnight (privacy), Akash (data/compute)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Faction/Role system mapped to Body-Mind-Spirit: Aegis (PDT), Agora (PCT), Aurora (PMT)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Sovereignty as a Service: Principles, Protocols, Platform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(See C3-Journey-Builder-Whitepaper Section 2)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Infinite autonomy via composable paths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Edge/IoT/QR-first interactions; zero PII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sovereign contracts as Offers; authenticated via micro-task QR proofs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CoCoA agent handles real-time and asynchronous peer contracts as a vault-controlled sovereign entity agent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Faction/Role, Reputation, and Evolution Schema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PPT (Patronage Proof Token) and XPT (Experience Asset Token) systems stack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 Ranking (0-12) anchors reputation/prestige via verified sovereign evolution/service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Advancement in Trust/Prestige is the main social credential; cross-chain validator and authority for governance, offers, and arbitration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Offers, Nexus Nodes, and Community Governance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contracts posted/listed in the C3 DEX Marketplace as "Impact Offers (IO)"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(Nexus Node) contracting facilitated by QR code instant Offers; CoCoA-to-CoCoA, pseudonymous, privacy-preserving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Quarterly offer/auction periods, DAO voting, Faction sponsorship metrics; Promoter Commons leadership, treaty negotiation structures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The Fool Archetype and the Philosophy of Infinite Evolution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(See C3-Journey-Builder-Whitepaper Section 3)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Fool (0/1) as both Void and New Beginning: unstructured potential modeled as the beginning/reset for any commoner or evolution cycle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Cyclical mastery and perpetual becoming: non-linear, gamified, archetype-based sovereignty pathways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Prestige-Trust System and Distributed Arbitration Framework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(See C3-Journey-Builder-Whitepaper Section 4)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 ranks (0-12): trust/prestige anchor for all entity actions, offers, contracts, and arbitration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DAO governance, weighted participation, and Nexus Node negotiation authorities mapped to Star tiers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Automated Judicial Loop for contract breach/arbitration; righteous (Universal Natural Law) compliance for all resolutions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 Multi-Chain Technical Infrastructure Summary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Cardano (L1), Cosmos (IBC), Hydra (L2), Midnight (privacy sidechain), Akash (compute/storage)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Smart contracts, modular DID/SSI integration, privacy-first protocols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Real-time validator of Offer/Mission completion and asset minting via edge/IoT/QR flows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 Conclusion: The Living Commons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Whitepaper v2.1 presents an adaptive, interoperable, and evolutionary architecture—the Living Commons—defined by sovereignty as a service, perpetual evolution, universal trust, and maximized autonomy for every cosmic commoner.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See supplemental documentation for technical, governance, community, and onboarding manuals.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2025-09-28T13:10:14.723Z</dcterms:created>
  <dcterms:modified xsi:type="dcterms:W3CDTF">2025-09-28T13:10:14.723Z</dcterms:modified>
</cp:coreProperties>
</file>