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Journey Builder Ecosystem</w:t>
      </w:r>
    </w:p>
    <w:p>
      <w:pPr>
        <w:spacing w:line="360" w:before="315" w:after="105" w:lineRule="auto"/>
        <w:ind w:left="-30"/>
        <w:jc w:val="left"/>
      </w:pPr>
      <w:r>
        <w:rPr>
          <w:rFonts w:eastAsia="inter" w:cs="inter" w:ascii="inter" w:hAnsi="inter"/>
          <w:b/>
          <w:color w:val="000000"/>
          <w:sz w:val="24"/>
        </w:rPr>
        <w:t xml:space="preserve">Whitepaper Integration Sections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Journey Builder Ecosystem Overview</w:t>
      </w:r>
    </w:p>
    <w:p>
      <w:pPr>
        <w:spacing w:line="360" w:before="315" w:after="105" w:lineRule="auto"/>
        <w:ind w:left="-30"/>
        <w:jc w:val="left"/>
      </w:pPr>
      <w:r>
        <w:rPr>
          <w:rFonts w:eastAsia="inter" w:cs="inter" w:ascii="inter" w:hAnsi="inter"/>
          <w:b/>
          <w:color w:val="000000"/>
          <w:sz w:val="24"/>
        </w:rPr>
        <w:t xml:space="preserve">The Cosmic Evolution Platform</w:t>
      </w:r>
    </w:p>
    <w:p>
      <w:pPr>
        <w:spacing w:line="360" w:after="210" w:lineRule="auto"/>
      </w:pPr>
      <w:r>
        <w:rPr>
          <w:rFonts w:eastAsia="inter" w:cs="inter" w:ascii="inter" w:hAnsi="inter"/>
          <w:color w:val="000000"/>
        </w:rPr>
        <w:t xml:space="preserve">The C3 Alliance Journey Builder represents a paradigm shift in how sovereign entities approach personal and collective evolution. Built upon the archetypal wisdom of the Major Arcana Tarot system, this comprehensive ecosystem transforms ancient wisdom into a modern, gamified, blockchain-powered experience platform.</w:t>
      </w:r>
    </w:p>
    <w:p>
      <w:pPr>
        <w:spacing w:line="360" w:before="315" w:after="105" w:lineRule="auto"/>
        <w:ind w:left="-30"/>
        <w:jc w:val="left"/>
      </w:pPr>
      <w:r>
        <w:rPr>
          <w:rFonts w:eastAsia="inter" w:cs="inter" w:ascii="inter" w:hAnsi="inter"/>
          <w:b/>
          <w:color w:val="000000"/>
          <w:sz w:val="24"/>
        </w:rPr>
        <w:t xml:space="preserve">Core Architecture</w:t>
      </w:r>
    </w:p>
    <w:p>
      <w:pPr>
        <w:spacing w:line="360" w:after="210" w:lineRule="auto"/>
      </w:pPr>
      <w:r>
        <w:rPr>
          <w:rFonts w:eastAsia="inter" w:cs="inter" w:ascii="inter" w:hAnsi="inter"/>
          <w:b/>
          <w:color w:val="000000"/>
        </w:rPr>
        <w:t xml:space="preserve">Journey &gt; Quest &gt; Mission &gt; Offer Flow</w:t>
      </w:r>
    </w:p>
    <w:p>
      <w:pPr>
        <w:numPr>
          <w:ilvl w:val="0"/>
          <w:numId w:val="1"/>
        </w:numPr>
        <w:spacing w:line="360" w:before="105" w:after="105" w:lineRule="auto"/>
      </w:pPr>
      <w:r>
        <w:rPr>
          <w:rFonts w:eastAsia="inter" w:cs="inter" w:ascii="inter" w:hAnsi="inter"/>
          <w:b/>
          <w:color w:val="000000"/>
          <w:sz w:val="21"/>
        </w:rPr>
        <w:t xml:space="preserve">Journeys</w:t>
      </w:r>
      <w:r>
        <w:rPr>
          <w:rFonts w:eastAsia="inter" w:cs="inter" w:ascii="inter" w:hAnsi="inter"/>
          <w:color w:val="000000"/>
          <w:sz w:val="21"/>
        </w:rPr>
        <w:t xml:space="preserve">: 21 Major Arcana archetypal tracks representing universal evolution patterns</w:t>
      </w:r>
    </w:p>
    <w:p>
      <w:pPr>
        <w:numPr>
          <w:ilvl w:val="0"/>
          <w:numId w:val="1"/>
        </w:numPr>
        <w:spacing w:line="360" w:before="105" w:after="105" w:lineRule="auto"/>
      </w:pPr>
      <w:r>
        <w:rPr>
          <w:rFonts w:eastAsia="inter" w:cs="inter" w:ascii="inter" w:hAnsi="inter"/>
          <w:b/>
          <w:color w:val="000000"/>
          <w:sz w:val="21"/>
        </w:rPr>
        <w:t xml:space="preserve">Quests</w:t>
      </w:r>
      <w:r>
        <w:rPr>
          <w:rFonts w:eastAsia="inter" w:cs="inter" w:ascii="inter" w:hAnsi="inter"/>
          <w:color w:val="000000"/>
          <w:sz w:val="21"/>
        </w:rPr>
        <w:t xml:space="preserve">: Structured experience paths mapped to real-world skills and Standard Occupational Classification (SOC) categories</w:t>
      </w:r>
    </w:p>
    <w:p>
      <w:pPr>
        <w:numPr>
          <w:ilvl w:val="0"/>
          <w:numId w:val="1"/>
        </w:numPr>
        <w:spacing w:line="360" w:before="105" w:after="105" w:lineRule="auto"/>
      </w:pPr>
      <w:r>
        <w:rPr>
          <w:rFonts w:eastAsia="inter" w:cs="inter" w:ascii="inter" w:hAnsi="inter"/>
          <w:b/>
          <w:color w:val="000000"/>
          <w:sz w:val="21"/>
        </w:rPr>
        <w:t xml:space="preserve">Missions</w:t>
      </w:r>
      <w:r>
        <w:rPr>
          <w:rFonts w:eastAsia="inter" w:cs="inter" w:ascii="inter" w:hAnsi="inter"/>
          <w:color w:val="000000"/>
          <w:sz w:val="21"/>
        </w:rPr>
        <w:t xml:space="preserve">: Micro-tasks and milestone achievements verified through edge devices and IoT sensors</w:t>
      </w:r>
    </w:p>
    <w:p>
      <w:pPr>
        <w:numPr>
          <w:ilvl w:val="0"/>
          <w:numId w:val="1"/>
        </w:numPr>
        <w:spacing w:line="360" w:before="105" w:after="105" w:lineRule="auto"/>
      </w:pPr>
      <w:r>
        <w:rPr>
          <w:rFonts w:eastAsia="inter" w:cs="inter" w:ascii="inter" w:hAnsi="inter"/>
          <w:b/>
          <w:color w:val="000000"/>
          <w:sz w:val="21"/>
        </w:rPr>
        <w:t xml:space="preserve">Offers</w:t>
      </w:r>
      <w:r>
        <w:rPr>
          <w:rFonts w:eastAsia="inter" w:cs="inter" w:ascii="inter" w:hAnsi="inter"/>
          <w:color w:val="000000"/>
          <w:sz w:val="21"/>
        </w:rPr>
        <w:t xml:space="preserve">: All sovereign contracts available on the C3 DEX Marketplace (also termed Impact Offers or IOs)</w:t>
      </w:r>
    </w:p>
    <w:p>
      <w:pPr>
        <w:spacing w:line="360" w:before="315" w:after="105" w:lineRule="auto"/>
        <w:ind w:left="-30"/>
        <w:jc w:val="left"/>
      </w:pPr>
      <w:r>
        <w:rPr>
          <w:rFonts w:eastAsia="inter" w:cs="inter" w:ascii="inter" w:hAnsi="inter"/>
          <w:b/>
          <w:color w:val="000000"/>
          <w:sz w:val="24"/>
        </w:rPr>
        <w:t xml:space="preserve">Multi-Chain Integration</w:t>
      </w:r>
    </w:p>
    <w:p>
      <w:pPr>
        <w:spacing w:line="360" w:after="210" w:lineRule="auto"/>
      </w:pPr>
      <w:r>
        <w:rPr>
          <w:rFonts w:eastAsia="inter" w:cs="inter" w:ascii="inter" w:hAnsi="inter"/>
          <w:color w:val="000000"/>
        </w:rPr>
        <w:t xml:space="preserve">The Journey Builder operates across five integrated blockchain layers:</w:t>
      </w:r>
    </w:p>
    <w:p>
      <w:pPr>
        <w:numPr>
          <w:ilvl w:val="0"/>
          <w:numId w:val="2"/>
        </w:numPr>
        <w:spacing w:line="360" w:before="105" w:after="105" w:lineRule="auto"/>
      </w:pPr>
      <w:r>
        <w:rPr>
          <w:rFonts w:eastAsia="inter" w:cs="inter" w:ascii="inter" w:hAnsi="inter"/>
          <w:b/>
          <w:color w:val="000000"/>
          <w:sz w:val="21"/>
        </w:rPr>
        <w:t xml:space="preserve">Cardano L1</w:t>
      </w:r>
      <w:r>
        <w:rPr>
          <w:rFonts w:eastAsia="inter" w:cs="inter" w:ascii="inter" w:hAnsi="inter"/>
          <w:color w:val="000000"/>
          <w:sz w:val="21"/>
        </w:rPr>
        <w:t xml:space="preserve">: Universal public anchor for immutable credentials and major achievements</w:t>
      </w:r>
    </w:p>
    <w:p>
      <w:pPr>
        <w:numPr>
          <w:ilvl w:val="0"/>
          <w:numId w:val="2"/>
        </w:numPr>
        <w:spacing w:line="360" w:before="105" w:after="105" w:lineRule="auto"/>
      </w:pPr>
      <w:r>
        <w:rPr>
          <w:rFonts w:eastAsia="inter" w:cs="inter" w:ascii="inter" w:hAnsi="inter"/>
          <w:b/>
          <w:color w:val="000000"/>
          <w:sz w:val="21"/>
        </w:rPr>
        <w:t xml:space="preserve">Cosmos L1</w:t>
      </w:r>
      <w:r>
        <w:rPr>
          <w:rFonts w:eastAsia="inter" w:cs="inter" w:ascii="inter" w:hAnsi="inter"/>
          <w:color w:val="000000"/>
          <w:sz w:val="21"/>
        </w:rPr>
        <w:t xml:space="preserve">: Interoperability hub enabling cross-ecosystem collaboration</w:t>
      </w:r>
    </w:p>
    <w:p>
      <w:pPr>
        <w:numPr>
          <w:ilvl w:val="0"/>
          <w:numId w:val="2"/>
        </w:numPr>
        <w:spacing w:line="360" w:before="105" w:after="105" w:lineRule="auto"/>
      </w:pPr>
      <w:r>
        <w:rPr>
          <w:rFonts w:eastAsia="inter" w:cs="inter" w:ascii="inter" w:hAnsi="inter"/>
          <w:b/>
          <w:color w:val="000000"/>
          <w:sz w:val="21"/>
        </w:rPr>
        <w:t xml:space="preserve">Hydra Head/Tails L2</w:t>
      </w:r>
      <w:r>
        <w:rPr>
          <w:rFonts w:eastAsia="inter" w:cs="inter" w:ascii="inter" w:hAnsi="inter"/>
          <w:color w:val="000000"/>
          <w:sz w:val="21"/>
        </w:rPr>
        <w:t xml:space="preserve">: High-throughput scaling for real-time interactions (1M+ TPS)</w:t>
      </w:r>
    </w:p>
    <w:p>
      <w:pPr>
        <w:numPr>
          <w:ilvl w:val="0"/>
          <w:numId w:val="2"/>
        </w:numPr>
        <w:spacing w:line="360" w:before="105" w:after="105" w:lineRule="auto"/>
      </w:pPr>
      <w:r>
        <w:rPr>
          <w:rFonts w:eastAsia="inter" w:cs="inter" w:ascii="inter" w:hAnsi="inter"/>
          <w:b/>
          <w:color w:val="000000"/>
          <w:sz w:val="21"/>
        </w:rPr>
        <w:t xml:space="preserve">Midnight Sidechain</w:t>
      </w:r>
      <w:r>
        <w:rPr>
          <w:rFonts w:eastAsia="inter" w:cs="inter" w:ascii="inter" w:hAnsi="inter"/>
          <w:color w:val="000000"/>
          <w:sz w:val="21"/>
        </w:rPr>
        <w:t xml:space="preserve">: Privacy-preserving SSI-DID compliance and shielded operations</w:t>
      </w:r>
    </w:p>
    <w:p>
      <w:pPr>
        <w:numPr>
          <w:ilvl w:val="0"/>
          <w:numId w:val="2"/>
        </w:numPr>
        <w:spacing w:line="360" w:before="105" w:after="105" w:lineRule="auto"/>
      </w:pPr>
      <w:r>
        <w:rPr>
          <w:rFonts w:eastAsia="inter" w:cs="inter" w:ascii="inter" w:hAnsi="inter"/>
          <w:b/>
          <w:color w:val="000000"/>
          <w:sz w:val="21"/>
        </w:rPr>
        <w:t xml:space="preserve">Akash Network</w:t>
      </w:r>
      <w:r>
        <w:rPr>
          <w:rFonts w:eastAsia="inter" w:cs="inter" w:ascii="inter" w:hAnsi="inter"/>
          <w:color w:val="000000"/>
          <w:sz w:val="21"/>
        </w:rPr>
        <w:t xml:space="preserve">: Decentralized compute, storage, and data transfer infrastructure</w:t>
      </w:r>
    </w:p>
    <w:p>
      <w:pPr>
        <w:spacing w:line="360" w:before="315" w:after="105" w:lineRule="auto"/>
        <w:ind w:left="-30"/>
        <w:jc w:val="left"/>
      </w:pPr>
      <w:r>
        <w:rPr>
          <w:rFonts w:eastAsia="inter" w:cs="inter" w:ascii="inter" w:hAnsi="inter"/>
          <w:b/>
          <w:color w:val="000000"/>
          <w:sz w:val="24"/>
        </w:rPr>
        <w:t xml:space="preserve">Faction Integration System</w:t>
      </w:r>
    </w:p>
    <w:p>
      <w:pPr>
        <w:spacing w:line="360" w:after="210" w:lineRule="auto"/>
      </w:pPr>
      <w:r>
        <w:rPr>
          <w:rFonts w:eastAsia="inter" w:cs="inter" w:ascii="inter" w:hAnsi="inter"/>
          <w:color w:val="000000"/>
        </w:rPr>
        <w:t xml:space="preserve">Three primary factions align with Mind-Body-Spirit evolution:</w:t>
      </w:r>
    </w:p>
    <w:p>
      <w:pPr>
        <w:numPr>
          <w:ilvl w:val="0"/>
          <w:numId w:val="3"/>
        </w:numPr>
        <w:spacing w:line="360" w:before="105" w:after="105" w:lineRule="auto"/>
      </w:pPr>
      <w:r>
        <w:rPr>
          <w:rFonts w:eastAsia="inter" w:cs="inter" w:ascii="inter" w:hAnsi="inter"/>
          <w:b/>
          <w:color w:val="000000"/>
          <w:sz w:val="21"/>
        </w:rPr>
        <w:t xml:space="preserve">Aegis (Body-Producer-PDT-Union)</w:t>
      </w:r>
      <w:r>
        <w:rPr>
          <w:rFonts w:eastAsia="inter" w:cs="inter" w:ascii="inter" w:hAnsi="inter"/>
          <w:color w:val="000000"/>
          <w:sz w:val="21"/>
        </w:rPr>
        <w:t xml:space="preserve">: Material stewardship, healing, construction, resource management</w:t>
      </w:r>
    </w:p>
    <w:p>
      <w:pPr>
        <w:numPr>
          <w:ilvl w:val="0"/>
          <w:numId w:val="3"/>
        </w:numPr>
        <w:spacing w:line="360" w:before="105" w:after="105" w:lineRule="auto"/>
      </w:pPr>
      <w:r>
        <w:rPr>
          <w:rFonts w:eastAsia="inter" w:cs="inter" w:ascii="inter" w:hAnsi="inter"/>
          <w:b/>
          <w:color w:val="000000"/>
          <w:sz w:val="21"/>
        </w:rPr>
        <w:t xml:space="preserve">Agora (Mind-Procurer-PCT-Guild)</w:t>
      </w:r>
      <w:r>
        <w:rPr>
          <w:rFonts w:eastAsia="inter" w:cs="inter" w:ascii="inter" w:hAnsi="inter"/>
          <w:color w:val="000000"/>
          <w:sz w:val="21"/>
        </w:rPr>
        <w:t xml:space="preserve">: Research, arbitration, knowledge services, policy development</w:t>
      </w:r>
    </w:p>
    <w:p>
      <w:pPr>
        <w:numPr>
          <w:ilvl w:val="0"/>
          <w:numId w:val="3"/>
        </w:numPr>
        <w:spacing w:line="360" w:before="105" w:after="105" w:lineRule="auto"/>
      </w:pPr>
      <w:r>
        <w:rPr>
          <w:rFonts w:eastAsia="inter" w:cs="inter" w:ascii="inter" w:hAnsi="inter"/>
          <w:b/>
          <w:color w:val="000000"/>
          <w:sz w:val="21"/>
        </w:rPr>
        <w:t xml:space="preserve">Aurora (Spirit-Promoter-PMT-Syndicate)</w:t>
      </w:r>
      <w:r>
        <w:rPr>
          <w:rFonts w:eastAsia="inter" w:cs="inter" w:ascii="inter" w:hAnsi="inter"/>
          <w:color w:val="000000"/>
          <w:sz w:val="21"/>
        </w:rPr>
        <w:t xml:space="preserve">: Governance, creativity, spiritual leadership, community promotion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Sovereignty as a Service Framework</w:t>
      </w:r>
    </w:p>
    <w:p>
      <w:pPr>
        <w:spacing w:line="360" w:before="315" w:after="105" w:lineRule="auto"/>
        <w:ind w:left="-30"/>
        <w:jc w:val="left"/>
      </w:pPr>
      <w:r>
        <w:rPr>
          <w:rFonts w:eastAsia="inter" w:cs="inter" w:ascii="inter" w:hAnsi="inter"/>
          <w:b/>
          <w:color w:val="000000"/>
          <w:sz w:val="24"/>
        </w:rPr>
        <w:t xml:space="preserve">Maximum Autonomy Through Structured Freedom</w:t>
      </w:r>
    </w:p>
    <w:p>
      <w:pPr>
        <w:spacing w:line="360" w:after="210" w:lineRule="auto"/>
      </w:pPr>
      <w:r>
        <w:rPr>
          <w:rFonts w:eastAsia="inter" w:cs="inter" w:ascii="inter" w:hAnsi="inter"/>
          <w:color w:val="000000"/>
        </w:rPr>
        <w:t xml:space="preserve">The C3 Alliance delivers sovereignty as a service by providing infinite customization within a secure, trusted framework. This approach ensures that every sovereign entity—regardless of type—can evolve according to their unique path while maintaining interoperability and community benefit.</w:t>
      </w:r>
    </w:p>
    <w:p>
      <w:pPr>
        <w:spacing w:line="360" w:before="315" w:after="105" w:lineRule="auto"/>
        <w:ind w:left="-30"/>
        <w:jc w:val="left"/>
      </w:pPr>
      <w:r>
        <w:rPr>
          <w:rFonts w:eastAsia="inter" w:cs="inter" w:ascii="inter" w:hAnsi="inter"/>
          <w:b/>
          <w:color w:val="000000"/>
          <w:sz w:val="24"/>
        </w:rPr>
        <w:t xml:space="preserve">Core Sovereignty Principles</w:t>
      </w:r>
    </w:p>
    <w:p>
      <w:pPr>
        <w:spacing w:line="360" w:after="210" w:lineRule="auto"/>
      </w:pPr>
      <w:r>
        <w:rPr>
          <w:rFonts w:eastAsia="inter" w:cs="inter" w:ascii="inter" w:hAnsi="inter"/>
          <w:b/>
          <w:color w:val="000000"/>
        </w:rPr>
        <w:t xml:space="preserve">Infinite Autonomy</w:t>
      </w:r>
      <w:r>
        <w:rPr>
          <w:rFonts w:eastAsia="inter" w:cs="inter" w:ascii="inter" w:hAnsi="inter"/>
          <w:color w:val="000000"/>
        </w:rPr>
        <w:t xml:space="preserve">: Members create entirely custom evolution paths by combining Major Arcana journeys, SOC-based quests, faction roles, and personal missions. No predetermined progression requirements exist—only opportunities for growth.</w:t>
      </w:r>
    </w:p>
    <w:p>
      <w:pPr>
        <w:spacing w:line="360" w:after="210" w:lineRule="auto"/>
      </w:pPr>
      <w:r>
        <w:rPr>
          <w:rFonts w:eastAsia="inter" w:cs="inter" w:ascii="inter" w:hAnsi="inter"/>
          <w:b/>
          <w:color w:val="000000"/>
        </w:rPr>
        <w:t xml:space="preserve">Privacy-First Architecture</w:t>
      </w:r>
      <w:r>
        <w:rPr>
          <w:rFonts w:eastAsia="inter" w:cs="inter" w:ascii="inter" w:hAnsi="inter"/>
          <w:color w:val="000000"/>
        </w:rPr>
        <w:t xml:space="preserve">: All interactions utilize edge devices, IoT sensors, and QR code verification to maintain zero PII exposure. Sovereign entities collaborate through cryptographic identities while preserving complete data sovereignty.</w:t>
      </w:r>
    </w:p>
    <w:p>
      <w:pPr>
        <w:spacing w:line="360" w:after="210" w:lineRule="auto"/>
      </w:pPr>
      <w:r>
        <w:rPr>
          <w:rFonts w:eastAsia="inter" w:cs="inter" w:ascii="inter" w:hAnsi="inter"/>
          <w:b/>
          <w:color w:val="000000"/>
        </w:rPr>
        <w:t xml:space="preserve">Contractual Integrity</w:t>
      </w:r>
      <w:r>
        <w:rPr>
          <w:rFonts w:eastAsia="inter" w:cs="inter" w:ascii="inter" w:hAnsi="inter"/>
          <w:color w:val="000000"/>
        </w:rPr>
        <w:t xml:space="preserve">: Every agreement, quest, and offer operates as a sovereign contract governed by Universal Natural Law principles. Failure to honor agreements triggers automated arbitration through the Judicial Loop system.</w:t>
      </w:r>
    </w:p>
    <w:p>
      <w:pPr>
        <w:spacing w:line="360" w:before="315" w:after="105" w:lineRule="auto"/>
        <w:ind w:left="-30"/>
        <w:jc w:val="left"/>
      </w:pPr>
      <w:r>
        <w:rPr>
          <w:rFonts w:eastAsia="inter" w:cs="inter" w:ascii="inter" w:hAnsi="inter"/>
          <w:b/>
          <w:color w:val="000000"/>
          <w:sz w:val="24"/>
        </w:rPr>
        <w:t xml:space="preserve">CoCoA Agent Integration</w:t>
      </w:r>
    </w:p>
    <w:p>
      <w:pPr>
        <w:spacing w:line="360" w:after="210" w:lineRule="auto"/>
      </w:pPr>
      <w:r>
        <w:rPr>
          <w:rFonts w:eastAsia="inter" w:cs="inter" w:ascii="inter" w:hAnsi="inter"/>
          <w:color w:val="000000"/>
        </w:rPr>
        <w:t xml:space="preserve">The Cosmic Commoner Avatar (CoCoA) serves as each member's sovereign-controlled AI agent, operating exclusively within user-defined parameters from their sovereign vault. CoCoA agents:</w:t>
      </w:r>
    </w:p>
    <w:p>
      <w:pPr>
        <w:numPr>
          <w:ilvl w:val="0"/>
          <w:numId w:val="4"/>
        </w:numPr>
        <w:spacing w:line="360" w:before="105" w:after="105" w:lineRule="auto"/>
      </w:pPr>
      <w:r>
        <w:rPr>
          <w:rFonts w:eastAsia="inter" w:cs="inter" w:ascii="inter" w:hAnsi="inter"/>
          <w:color w:val="000000"/>
          <w:sz w:val="21"/>
        </w:rPr>
        <w:t xml:space="preserve">Autonomously manage routine interactions and contract negotiations</w:t>
      </w:r>
    </w:p>
    <w:p>
      <w:pPr>
        <w:numPr>
          <w:ilvl w:val="0"/>
          <w:numId w:val="4"/>
        </w:numPr>
        <w:spacing w:line="360" w:before="105" w:after="105" w:lineRule="auto"/>
      </w:pPr>
      <w:r>
        <w:rPr>
          <w:rFonts w:eastAsia="inter" w:cs="inter" w:ascii="inter" w:hAnsi="inter"/>
          <w:color w:val="000000"/>
          <w:sz w:val="21"/>
        </w:rPr>
        <w:t xml:space="preserve">Execute QR code exchanges for real-time offer coordination</w:t>
      </w:r>
    </w:p>
    <w:p>
      <w:pPr>
        <w:numPr>
          <w:ilvl w:val="0"/>
          <w:numId w:val="4"/>
        </w:numPr>
        <w:spacing w:line="360" w:before="105" w:after="105" w:lineRule="auto"/>
      </w:pPr>
      <w:r>
        <w:rPr>
          <w:rFonts w:eastAsia="inter" w:cs="inter" w:ascii="inter" w:hAnsi="inter"/>
          <w:color w:val="000000"/>
          <w:sz w:val="21"/>
        </w:rPr>
        <w:t xml:space="preserve">Maintain privacy boundaries while facilitating collaboration</w:t>
      </w:r>
    </w:p>
    <w:p>
      <w:pPr>
        <w:numPr>
          <w:ilvl w:val="0"/>
          <w:numId w:val="4"/>
        </w:numPr>
        <w:spacing w:line="360" w:before="105" w:after="105" w:lineRule="auto"/>
      </w:pPr>
      <w:r>
        <w:rPr>
          <w:rFonts w:eastAsia="inter" w:cs="inter" w:ascii="inter" w:hAnsi="inter"/>
          <w:color w:val="000000"/>
          <w:sz w:val="21"/>
        </w:rPr>
        <w:t xml:space="preserve">Enable members to focus purely on evolution and service opportunities</w:t>
      </w:r>
    </w:p>
    <w:p>
      <w:pPr>
        <w:spacing w:line="360" w:before="315" w:after="105" w:lineRule="auto"/>
        <w:ind w:left="-30"/>
        <w:jc w:val="left"/>
      </w:pPr>
      <w:r>
        <w:rPr>
          <w:rFonts w:eastAsia="inter" w:cs="inter" w:ascii="inter" w:hAnsi="inter"/>
          <w:b/>
          <w:color w:val="000000"/>
          <w:sz w:val="24"/>
        </w:rPr>
        <w:t xml:space="preserve">Edge Device Ecosystem</w:t>
      </w:r>
    </w:p>
    <w:p>
      <w:pPr>
        <w:spacing w:line="360" w:after="210" w:lineRule="auto"/>
      </w:pPr>
      <w:r>
        <w:rPr>
          <w:rFonts w:eastAsia="inter" w:cs="inter" w:ascii="inter" w:hAnsi="inter"/>
          <w:color w:val="000000"/>
        </w:rPr>
        <w:t xml:space="preserve">The platform's edge-first approach ensures sovereignty at the hardware level:</w:t>
      </w:r>
    </w:p>
    <w:p>
      <w:pPr>
        <w:numPr>
          <w:ilvl w:val="0"/>
          <w:numId w:val="5"/>
        </w:numPr>
        <w:spacing w:line="360" w:before="105" w:after="105" w:lineRule="auto"/>
      </w:pPr>
      <w:r>
        <w:rPr>
          <w:rFonts w:eastAsia="inter" w:cs="inter" w:ascii="inter" w:hAnsi="inter"/>
          <w:b/>
          <w:color w:val="000000"/>
          <w:sz w:val="21"/>
        </w:rPr>
        <w:t xml:space="preserve">QR Code Verification</w:t>
      </w:r>
      <w:r>
        <w:rPr>
          <w:rFonts w:eastAsia="inter" w:cs="inter" w:ascii="inter" w:hAnsi="inter"/>
          <w:color w:val="000000"/>
          <w:sz w:val="21"/>
        </w:rPr>
        <w:t xml:space="preserve">: All mission progress and offer exchanges verified through cryptographic QR codes</w:t>
      </w:r>
    </w:p>
    <w:p>
      <w:pPr>
        <w:numPr>
          <w:ilvl w:val="0"/>
          <w:numId w:val="5"/>
        </w:numPr>
        <w:spacing w:line="360" w:before="105" w:after="105" w:lineRule="auto"/>
      </w:pPr>
      <w:r>
        <w:rPr>
          <w:rFonts w:eastAsia="inter" w:cs="inter" w:ascii="inter" w:hAnsi="inter"/>
          <w:b/>
          <w:color w:val="000000"/>
          <w:sz w:val="21"/>
        </w:rPr>
        <w:t xml:space="preserve">IoT Integration</w:t>
      </w:r>
      <w:r>
        <w:rPr>
          <w:rFonts w:eastAsia="inter" w:cs="inter" w:ascii="inter" w:hAnsi="inter"/>
          <w:color w:val="000000"/>
          <w:sz w:val="21"/>
        </w:rPr>
        <w:t xml:space="preserve">: Sensor networks provide real-time validation of physical-world achievements</w:t>
      </w:r>
    </w:p>
    <w:p>
      <w:pPr>
        <w:numPr>
          <w:ilvl w:val="0"/>
          <w:numId w:val="5"/>
        </w:numPr>
        <w:spacing w:line="360" w:before="105" w:after="105" w:lineRule="auto"/>
      </w:pPr>
      <w:r>
        <w:rPr>
          <w:rFonts w:eastAsia="inter" w:cs="inter" w:ascii="inter" w:hAnsi="inter"/>
          <w:b/>
          <w:color w:val="000000"/>
          <w:sz w:val="21"/>
        </w:rPr>
        <w:t xml:space="preserve">Zero-Trust Architecture</w:t>
      </w:r>
      <w:r>
        <w:rPr>
          <w:rFonts w:eastAsia="inter" w:cs="inter" w:ascii="inter" w:hAnsi="inter"/>
          <w:color w:val="000000"/>
          <w:sz w:val="21"/>
        </w:rPr>
        <w:t xml:space="preserve">: No central authority required for interaction validation</w:t>
      </w:r>
    </w:p>
    <w:p>
      <w:pPr>
        <w:numPr>
          <w:ilvl w:val="0"/>
          <w:numId w:val="5"/>
        </w:numPr>
        <w:spacing w:line="360" w:before="105" w:after="105" w:lineRule="auto"/>
      </w:pPr>
      <w:r>
        <w:rPr>
          <w:rFonts w:eastAsia="inter" w:cs="inter" w:ascii="inter" w:hAnsi="inter"/>
          <w:b/>
          <w:color w:val="000000"/>
          <w:sz w:val="21"/>
        </w:rPr>
        <w:t xml:space="preserve">Instant Transactions</w:t>
      </w:r>
      <w:r>
        <w:rPr>
          <w:rFonts w:eastAsia="inter" w:cs="inter" w:ascii="inter" w:hAnsi="inter"/>
          <w:color w:val="000000"/>
          <w:sz w:val="21"/>
        </w:rPr>
        <w:t xml:space="preserve">: Local Nexus Node networks enable immediate peer-to-peer contracting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The Fool Archetype and Infinite Evolution Philosophy</w:t>
      </w:r>
    </w:p>
    <w:p>
      <w:pPr>
        <w:spacing w:line="360" w:before="315" w:after="105" w:lineRule="auto"/>
        <w:ind w:left="-30"/>
        <w:jc w:val="left"/>
      </w:pPr>
      <w:r>
        <w:rPr>
          <w:rFonts w:eastAsia="inter" w:cs="inter" w:ascii="inter" w:hAnsi="inter"/>
          <w:b/>
          <w:color w:val="000000"/>
          <w:sz w:val="24"/>
        </w:rPr>
        <w:t xml:space="preserve">The Eternal Journey of Becoming</w:t>
      </w:r>
    </w:p>
    <w:p>
      <w:pPr>
        <w:spacing w:line="360" w:after="210" w:lineRule="auto"/>
      </w:pPr>
      <w:r>
        <w:rPr>
          <w:rFonts w:eastAsia="inter" w:cs="inter" w:ascii="inter" w:hAnsi="inter"/>
          <w:color w:val="000000"/>
        </w:rPr>
        <w:t xml:space="preserve">The Fool archetype embodies the core philosophy of the C3 Alliance: infinite potential through continuous becoming. Unlike traditional progression systems that imply completion, the Fool represents both the Void (0) and Unity (1) simultaneously—the eternal dance between ending and beginning.</w:t>
      </w:r>
    </w:p>
    <w:p>
      <w:pPr>
        <w:spacing w:line="360" w:before="315" w:after="105" w:lineRule="auto"/>
        <w:ind w:left="-30"/>
        <w:jc w:val="left"/>
      </w:pPr>
      <w:r>
        <w:rPr>
          <w:rFonts w:eastAsia="inter" w:cs="inter" w:ascii="inter" w:hAnsi="inter"/>
          <w:b/>
          <w:color w:val="000000"/>
          <w:sz w:val="24"/>
        </w:rPr>
        <w:t xml:space="preserve">Dual Nature of The Fool</w:t>
      </w:r>
    </w:p>
    <w:p>
      <w:pPr>
        <w:spacing w:line="360" w:after="210" w:lineRule="auto"/>
      </w:pPr>
      <w:r>
        <w:rPr>
          <w:rFonts w:eastAsia="inter" w:cs="inter" w:ascii="inter" w:hAnsi="inter"/>
          <w:b/>
          <w:color w:val="000000"/>
        </w:rPr>
        <w:t xml:space="preserve">The Void (0)</w:t>
      </w:r>
      <w:r>
        <w:rPr>
          <w:rFonts w:eastAsia="inter" w:cs="inter" w:ascii="inter" w:hAnsi="inter"/>
          <w:color w:val="000000"/>
        </w:rPr>
        <w:t xml:space="preserve">: Representing the return to source, the clearing of attachments, and the wisdom of unknowing. In the Journey Builder, this manifests as the ability to reset, restart, or pivot evolution paths without penalty. Members can return to beginner's mind while retaining all earned experience assets.</w:t>
      </w:r>
    </w:p>
    <w:p>
      <w:pPr>
        <w:spacing w:line="360" w:after="210" w:lineRule="auto"/>
      </w:pPr>
      <w:r>
        <w:rPr>
          <w:rFonts w:eastAsia="inter" w:cs="inter" w:ascii="inter" w:hAnsi="inter"/>
          <w:b/>
          <w:color w:val="000000"/>
        </w:rPr>
        <w:t xml:space="preserve">Unity (1)</w:t>
      </w:r>
      <w:r>
        <w:rPr>
          <w:rFonts w:eastAsia="inter" w:cs="inter" w:ascii="inter" w:hAnsi="inter"/>
          <w:color w:val="000000"/>
        </w:rPr>
        <w:t xml:space="preserve">: The spark of new creation, the first step of any journey, the power of individual will. This represents the sovereign entity's power to initiate any quest, create any offer, or forge any collaborative path.</w:t>
      </w:r>
    </w:p>
    <w:p>
      <w:pPr>
        <w:spacing w:line="360" w:before="315" w:after="105" w:lineRule="auto"/>
        <w:ind w:left="-30"/>
        <w:jc w:val="left"/>
      </w:pPr>
      <w:r>
        <w:rPr>
          <w:rFonts w:eastAsia="inter" w:cs="inter" w:ascii="inter" w:hAnsi="inter"/>
          <w:b/>
          <w:color w:val="000000"/>
          <w:sz w:val="24"/>
        </w:rPr>
        <w:t xml:space="preserve">Infinite Evolution Mechanics</w:t>
      </w:r>
    </w:p>
    <w:p>
      <w:pPr>
        <w:spacing w:line="360" w:after="210" w:lineRule="auto"/>
      </w:pPr>
      <w:r>
        <w:rPr>
          <w:rFonts w:eastAsia="inter" w:cs="inter" w:ascii="inter" w:hAnsi="inter"/>
          <w:b/>
          <w:color w:val="000000"/>
        </w:rPr>
        <w:t xml:space="preserve">Non-Linear Progression</w:t>
      </w:r>
      <w:r>
        <w:rPr>
          <w:rFonts w:eastAsia="inter" w:cs="inter" w:ascii="inter" w:hAnsi="inter"/>
          <w:color w:val="000000"/>
        </w:rPr>
        <w:t xml:space="preserve">: Unlike traditional RPG systems, members can pursue any Journey track at any time. A cosmic commoner might simultaneously explore The Magician's innovation path while deepening The Hermit's reflection practices.</w:t>
      </w:r>
    </w:p>
    <w:p>
      <w:pPr>
        <w:spacing w:line="360" w:after="210" w:lineRule="auto"/>
      </w:pPr>
      <w:r>
        <w:rPr>
          <w:rFonts w:eastAsia="inter" w:cs="inter" w:ascii="inter" w:hAnsi="inter"/>
          <w:b/>
          <w:color w:val="000000"/>
        </w:rPr>
        <w:t xml:space="preserve">Cyclical Mastery</w:t>
      </w:r>
      <w:r>
        <w:rPr>
          <w:rFonts w:eastAsia="inter" w:cs="inter" w:ascii="inter" w:hAnsi="inter"/>
          <w:color w:val="000000"/>
        </w:rPr>
        <w:t xml:space="preserve">: Completing a full Major Arcana cycle doesn't end the journey—it elevates the member to a new octave of the same archetypal patterns, similar to how the number 10 reduces to 1 in numerology while containing expanded consciousness.</w:t>
      </w:r>
    </w:p>
    <w:p>
      <w:pPr>
        <w:spacing w:line="360" w:after="210" w:lineRule="auto"/>
      </w:pPr>
      <w:r>
        <w:rPr>
          <w:rFonts w:eastAsia="inter" w:cs="inter" w:ascii="inter" w:hAnsi="inter"/>
          <w:b/>
          <w:color w:val="000000"/>
        </w:rPr>
        <w:t xml:space="preserve">Paradoxical Wisdom</w:t>
      </w:r>
      <w:r>
        <w:rPr>
          <w:rFonts w:eastAsia="inter" w:cs="inter" w:ascii="inter" w:hAnsi="inter"/>
          <w:color w:val="000000"/>
        </w:rPr>
        <w:t xml:space="preserve">: The most advanced members often display beginner's mind, embodying The Fool's eternal curiosity and openness to surprise. Star-tier progression measures not just accumulated knowledge but maintained wonder.</w:t>
      </w:r>
    </w:p>
    <w:p>
      <w:pPr>
        <w:spacing w:line="360" w:before="315" w:after="105" w:lineRule="auto"/>
        <w:ind w:left="-30"/>
        <w:jc w:val="left"/>
      </w:pPr>
      <w:r>
        <w:rPr>
          <w:rFonts w:eastAsia="inter" w:cs="inter" w:ascii="inter" w:hAnsi="inter"/>
          <w:b/>
          <w:color w:val="000000"/>
          <w:sz w:val="24"/>
        </w:rPr>
        <w:t xml:space="preserve">Integration with Universal Natural Law</w:t>
      </w:r>
    </w:p>
    <w:p>
      <w:pPr>
        <w:spacing w:line="360" w:after="210" w:lineRule="auto"/>
      </w:pPr>
      <w:r>
        <w:rPr>
          <w:rFonts w:eastAsia="inter" w:cs="inter" w:ascii="inter" w:hAnsi="inter"/>
          <w:color w:val="000000"/>
        </w:rPr>
        <w:t xml:space="preserve">The Fool's journey aligns with Universal Natural Law through:</w:t>
      </w:r>
    </w:p>
    <w:p>
      <w:pPr>
        <w:numPr>
          <w:ilvl w:val="0"/>
          <w:numId w:val="6"/>
        </w:numPr>
        <w:spacing w:line="360" w:before="105" w:after="105" w:lineRule="auto"/>
      </w:pPr>
      <w:r>
        <w:rPr>
          <w:rFonts w:eastAsia="inter" w:cs="inter" w:ascii="inter" w:hAnsi="inter"/>
          <w:b/>
          <w:color w:val="000000"/>
          <w:sz w:val="21"/>
        </w:rPr>
        <w:t xml:space="preserve">Free Will</w:t>
      </w:r>
      <w:r>
        <w:rPr>
          <w:rFonts w:eastAsia="inter" w:cs="inter" w:ascii="inter" w:hAnsi="inter"/>
          <w:color w:val="000000"/>
          <w:sz w:val="21"/>
        </w:rPr>
        <w:t xml:space="preserve">: Absolute choice in evolution direction and collaboration partnerships</w:t>
      </w:r>
    </w:p>
    <w:p>
      <w:pPr>
        <w:numPr>
          <w:ilvl w:val="0"/>
          <w:numId w:val="6"/>
        </w:numPr>
        <w:spacing w:line="360" w:before="105" w:after="105" w:lineRule="auto"/>
      </w:pPr>
      <w:r>
        <w:rPr>
          <w:rFonts w:eastAsia="inter" w:cs="inter" w:ascii="inter" w:hAnsi="inter"/>
          <w:b/>
          <w:color w:val="000000"/>
          <w:sz w:val="21"/>
        </w:rPr>
        <w:t xml:space="preserve">Consequence Integration</w:t>
      </w:r>
      <w:r>
        <w:rPr>
          <w:rFonts w:eastAsia="inter" w:cs="inter" w:ascii="inter" w:hAnsi="inter"/>
          <w:color w:val="000000"/>
          <w:sz w:val="21"/>
        </w:rPr>
        <w:t xml:space="preserve">: Every action generates learning through natural feedback loops</w:t>
      </w:r>
    </w:p>
    <w:p>
      <w:pPr>
        <w:numPr>
          <w:ilvl w:val="0"/>
          <w:numId w:val="6"/>
        </w:numPr>
        <w:spacing w:line="360" w:before="105" w:after="105" w:lineRule="auto"/>
      </w:pPr>
      <w:r>
        <w:rPr>
          <w:rFonts w:eastAsia="inter" w:cs="inter" w:ascii="inter" w:hAnsi="inter"/>
          <w:b/>
          <w:color w:val="000000"/>
          <w:sz w:val="21"/>
        </w:rPr>
        <w:t xml:space="preserve">Service Orientation</w:t>
      </w:r>
      <w:r>
        <w:rPr>
          <w:rFonts w:eastAsia="inter" w:cs="inter" w:ascii="inter" w:hAnsi="inter"/>
          <w:color w:val="000000"/>
          <w:sz w:val="21"/>
        </w:rPr>
        <w:t xml:space="preserve">: Advanced Fool consciousness naturally expresses through service to others</w:t>
      </w:r>
    </w:p>
    <w:p>
      <w:pPr>
        <w:numPr>
          <w:ilvl w:val="0"/>
          <w:numId w:val="6"/>
        </w:numPr>
        <w:spacing w:line="360" w:before="105" w:after="105" w:lineRule="auto"/>
      </w:pPr>
      <w:r>
        <w:rPr>
          <w:rFonts w:eastAsia="inter" w:cs="inter" w:ascii="inter" w:hAnsi="inter"/>
          <w:b/>
          <w:color w:val="000000"/>
          <w:sz w:val="21"/>
        </w:rPr>
        <w:t xml:space="preserve">Righteousness</w:t>
      </w:r>
      <w:r>
        <w:rPr>
          <w:rFonts w:eastAsia="inter" w:cs="inter" w:ascii="inter" w:hAnsi="inter"/>
          <w:color w:val="000000"/>
          <w:sz w:val="21"/>
        </w:rPr>
        <w:t xml:space="preserve">: Alignment with truth emerges organically through authentic experience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Prestige-Trust System and Community Governance</w:t>
      </w:r>
    </w:p>
    <w:p>
      <w:pPr>
        <w:spacing w:line="360" w:before="315" w:after="105" w:lineRule="auto"/>
        <w:ind w:left="-30"/>
        <w:jc w:val="left"/>
      </w:pPr>
      <w:r>
        <w:rPr>
          <w:rFonts w:eastAsia="inter" w:cs="inter" w:ascii="inter" w:hAnsi="inter"/>
          <w:b/>
          <w:color w:val="000000"/>
          <w:sz w:val="24"/>
        </w:rPr>
        <w:t xml:space="preserve">Star Tiers as Distributed Reputation Infrastructure</w:t>
      </w:r>
    </w:p>
    <w:p>
      <w:pPr>
        <w:spacing w:line="360" w:after="210" w:lineRule="auto"/>
      </w:pPr>
      <w:r>
        <w:rPr>
          <w:rFonts w:eastAsia="inter" w:cs="inter" w:ascii="inter" w:hAnsi="inter"/>
          <w:color w:val="000000"/>
        </w:rPr>
        <w:t xml:space="preserve">The C3 Alliance implements a 13-tier Star ranking system (0-12) that functions as both gamified progression and distributed trust infrastructure. This system replaces traditional centralized reputation management with community-verified, blockchain-anchored credibility scoring.</w:t>
      </w:r>
    </w:p>
    <w:p>
      <w:pPr>
        <w:spacing w:line="360" w:before="315" w:after="105" w:lineRule="auto"/>
        <w:ind w:left="-30"/>
        <w:jc w:val="left"/>
      </w:pPr>
      <w:r>
        <w:rPr>
          <w:rFonts w:eastAsia="inter" w:cs="inter" w:ascii="inter" w:hAnsi="inter"/>
          <w:b/>
          <w:color w:val="000000"/>
          <w:sz w:val="24"/>
        </w:rPr>
        <w:t xml:space="preserve">Star Tier Architecture</w:t>
      </w:r>
    </w:p>
    <w:p>
      <w:pPr>
        <w:spacing w:line="360" w:after="210" w:lineRule="auto"/>
      </w:pPr>
      <w:r>
        <w:rPr>
          <w:rFonts w:eastAsia="inter" w:cs="inter" w:ascii="inter" w:hAnsi="inter"/>
          <w:b/>
          <w:color w:val="000000"/>
        </w:rPr>
        <w:t xml:space="preserve">Tier 0 (The Fool)</w:t>
      </w:r>
      <w:r>
        <w:rPr>
          <w:rFonts w:eastAsia="inter" w:cs="inter" w:ascii="inter" w:hAnsi="inter"/>
          <w:color w:val="000000"/>
        </w:rPr>
        <w:t xml:space="preserve">: New sovereign entities beginning their journey</w:t>
      </w:r>
      <w:r>
        <w:rPr>
          <w:rFonts w:eastAsia="inter" w:cs="inter" w:ascii="inter" w:hAnsi="inter"/>
          <w:color w:val="000000"/>
        </w:rPr>
        <w:br w:type="textWrapping"/>
      </w:r>
      <w:r>
        <w:rPr>
          <w:rFonts w:eastAsia="inter" w:cs="inter" w:ascii="inter" w:hAnsi="inter"/>
          <w:b/>
          <w:color w:val="000000"/>
        </w:rPr>
        <w:t xml:space="preserve">Tiers 1-3</w:t>
      </w:r>
      <w:r>
        <w:rPr>
          <w:rFonts w:eastAsia="inter" w:cs="inter" w:ascii="inter" w:hAnsi="inter"/>
          <w:color w:val="000000"/>
        </w:rPr>
        <w:t xml:space="preserve">: Apprentice to Practitioner levels, building basic competencies</w:t>
      </w:r>
      <w:r>
        <w:rPr>
          <w:rFonts w:eastAsia="inter" w:cs="inter" w:ascii="inter" w:hAnsi="inter"/>
          <w:color w:val="000000"/>
        </w:rPr>
        <w:br w:type="textWrapping"/>
      </w:r>
      <w:r>
        <w:rPr>
          <w:rFonts w:eastAsia="inter" w:cs="inter" w:ascii="inter" w:hAnsi="inter"/>
          <w:b/>
          <w:color w:val="000000"/>
        </w:rPr>
        <w:t xml:space="preserve">Tiers 4-6</w:t>
      </w:r>
      <w:r>
        <w:rPr>
          <w:rFonts w:eastAsia="inter" w:cs="inter" w:ascii="inter" w:hAnsi="inter"/>
          <w:color w:val="000000"/>
        </w:rPr>
        <w:t xml:space="preserve">: Artisan to Master levels, developing specialization and teaching capacity</w:t>
      </w:r>
      <w:r>
        <w:rPr>
          <w:rFonts w:eastAsia="inter" w:cs="inter" w:ascii="inter" w:hAnsi="inter"/>
          <w:color w:val="000000"/>
        </w:rPr>
        <w:br w:type="textWrapping"/>
      </w:r>
      <w:r>
        <w:rPr>
          <w:rFonts w:eastAsia="inter" w:cs="inter" w:ascii="inter" w:hAnsi="inter"/>
          <w:b/>
          <w:color w:val="000000"/>
        </w:rPr>
        <w:t xml:space="preserve">Tiers 7-9</w:t>
      </w:r>
      <w:r>
        <w:rPr>
          <w:rFonts w:eastAsia="inter" w:cs="inter" w:ascii="inter" w:hAnsi="inter"/>
          <w:color w:val="000000"/>
        </w:rPr>
        <w:t xml:space="preserve">: Grandmaster to Oracle levels, contributing to community infrastructure</w:t>
      </w:r>
      <w:r>
        <w:rPr>
          <w:rFonts w:eastAsia="inter" w:cs="inter" w:ascii="inter" w:hAnsi="inter"/>
          <w:color w:val="000000"/>
        </w:rPr>
        <w:br w:type="textWrapping"/>
      </w:r>
      <w:r>
        <w:rPr>
          <w:rFonts w:eastAsia="inter" w:cs="inter" w:ascii="inter" w:hAnsi="inter"/>
          <w:b/>
          <w:color w:val="000000"/>
        </w:rPr>
        <w:t xml:space="preserve">Tiers 10-12</w:t>
      </w:r>
      <w:r>
        <w:rPr>
          <w:rFonts w:eastAsia="inter" w:cs="inter" w:ascii="inter" w:hAnsi="inter"/>
          <w:color w:val="000000"/>
        </w:rPr>
        <w:t xml:space="preserve">: Ascendant to Cosmic levels, reality-shaping and infinite customization abilities</w:t>
      </w:r>
    </w:p>
    <w:p>
      <w:pPr>
        <w:spacing w:line="360" w:before="315" w:after="105" w:lineRule="auto"/>
        <w:ind w:left="-30"/>
        <w:jc w:val="left"/>
      </w:pPr>
      <w:r>
        <w:rPr>
          <w:rFonts w:eastAsia="inter" w:cs="inter" w:ascii="inter" w:hAnsi="inter"/>
          <w:b/>
          <w:color w:val="000000"/>
          <w:sz w:val="24"/>
        </w:rPr>
        <w:t xml:space="preserve">Trust Anchoring Mechanisms</w:t>
      </w:r>
    </w:p>
    <w:p>
      <w:pPr>
        <w:spacing w:line="360" w:after="210" w:lineRule="auto"/>
      </w:pPr>
      <w:r>
        <w:rPr>
          <w:rFonts w:eastAsia="inter" w:cs="inter" w:ascii="inter" w:hAnsi="inter"/>
          <w:b/>
          <w:color w:val="000000"/>
        </w:rPr>
        <w:t xml:space="preserve">Verified Experience Assets (XPT)</w:t>
      </w:r>
      <w:r>
        <w:rPr>
          <w:rFonts w:eastAsia="inter" w:cs="inter" w:ascii="inter" w:hAnsi="inter"/>
          <w:color w:val="000000"/>
        </w:rPr>
        <w:t xml:space="preserve">: All experience points tied to cryptographically verified quest completion and peer validation. Cannot be faked or purchased—only earned through demonstrated competence.</w:t>
      </w:r>
    </w:p>
    <w:p>
      <w:pPr>
        <w:spacing w:line="360" w:after="210" w:lineRule="auto"/>
      </w:pPr>
      <w:r>
        <w:rPr>
          <w:rFonts w:eastAsia="inter" w:cs="inter" w:ascii="inter" w:hAnsi="inter"/>
          <w:b/>
          <w:color w:val="000000"/>
        </w:rPr>
        <w:t xml:space="preserve">Patronage Proof Tokens (PPT)</w:t>
      </w:r>
      <w:r>
        <w:rPr>
          <w:rFonts w:eastAsia="inter" w:cs="inter" w:ascii="inter" w:hAnsi="inter"/>
          <w:color w:val="000000"/>
        </w:rPr>
        <w:t xml:space="preserve">: Service-to-others multipliers that increase based on community impact and righteousness. Higher star tiers require increasing PPT ratios, ensuring trust correlates with service record.</w:t>
      </w:r>
    </w:p>
    <w:p>
      <w:pPr>
        <w:spacing w:line="360" w:after="210" w:lineRule="auto"/>
      </w:pPr>
      <w:r>
        <w:rPr>
          <w:rFonts w:eastAsia="inter" w:cs="inter" w:ascii="inter" w:hAnsi="inter"/>
          <w:b/>
          <w:color w:val="000000"/>
        </w:rPr>
        <w:t xml:space="preserve">Cross-Chain Validation</w:t>
      </w:r>
      <w:r>
        <w:rPr>
          <w:rFonts w:eastAsia="inter" w:cs="inter" w:ascii="inter" w:hAnsi="inter"/>
          <w:color w:val="000000"/>
        </w:rPr>
        <w:t xml:space="preserve">: Star tier recognition across all network layers ensures reputation portability and prevents gaming. Midnight privacy layer enables verification without exposing sensitive data.</w:t>
      </w:r>
    </w:p>
    <w:p>
      <w:pPr>
        <w:spacing w:line="360" w:before="315" w:after="105" w:lineRule="auto"/>
        <w:ind w:left="-30"/>
        <w:jc w:val="left"/>
      </w:pPr>
      <w:r>
        <w:rPr>
          <w:rFonts w:eastAsia="inter" w:cs="inter" w:ascii="inter" w:hAnsi="inter"/>
          <w:b/>
          <w:color w:val="000000"/>
          <w:sz w:val="24"/>
        </w:rPr>
        <w:t xml:space="preserve">Community Governance Integration</w:t>
      </w:r>
    </w:p>
    <w:p>
      <w:pPr>
        <w:spacing w:line="360" w:after="210" w:lineRule="auto"/>
      </w:pPr>
      <w:r>
        <w:rPr>
          <w:rFonts w:eastAsia="inter" w:cs="inter" w:ascii="inter" w:hAnsi="inter"/>
          <w:b/>
          <w:color w:val="000000"/>
        </w:rPr>
        <w:t xml:space="preserve">Weighted Participation</w:t>
      </w:r>
      <w:r>
        <w:rPr>
          <w:rFonts w:eastAsia="inter" w:cs="inter" w:ascii="inter" w:hAnsi="inter"/>
          <w:color w:val="000000"/>
        </w:rPr>
        <w:t xml:space="preserve">: Higher star tiers gain additional influence in DAO governance, but never absolute control. Cosmic-tier entities (Star 12) can propose reality-shaping initiatives but still require community consensus.</w:t>
      </w:r>
    </w:p>
    <w:p>
      <w:pPr>
        <w:spacing w:line="360" w:after="210" w:lineRule="auto"/>
      </w:pPr>
      <w:r>
        <w:rPr>
          <w:rFonts w:eastAsia="inter" w:cs="inter" w:ascii="inter" w:hAnsi="inter"/>
          <w:b/>
          <w:color w:val="000000"/>
        </w:rPr>
        <w:t xml:space="preserve">Arbitration Authority</w:t>
      </w:r>
      <w:r>
        <w:rPr>
          <w:rFonts w:eastAsia="inter" w:cs="inter" w:ascii="inter" w:hAnsi="inter"/>
          <w:color w:val="000000"/>
        </w:rPr>
        <w:t xml:space="preserve">: Justice-track specialists at various star tiers serve as dispute resolvers, with tier level determining case complexity access. All arbitration follows Universal Natural Law principles rather than arbitrary rules.</w:t>
      </w:r>
    </w:p>
    <w:p>
      <w:pPr>
        <w:spacing w:line="360" w:after="210" w:lineRule="auto"/>
      </w:pPr>
      <w:r>
        <w:rPr>
          <w:rFonts w:eastAsia="inter" w:cs="inter" w:ascii="inter" w:hAnsi="inter"/>
          <w:b/>
          <w:color w:val="000000"/>
        </w:rPr>
        <w:t xml:space="preserve">Nexus Node Coordination</w:t>
      </w:r>
      <w:r>
        <w:rPr>
          <w:rFonts w:eastAsia="inter" w:cs="inter" w:ascii="inter" w:hAnsi="inter"/>
          <w:color w:val="000000"/>
        </w:rPr>
        <w:t xml:space="preserve">: Star tiers determine authority levels for inter-node treaties and resource allocation. Higher tiers can represent their Nexus Node in cosmic-level negotiations.</w:t>
      </w:r>
    </w:p>
    <w:p>
      <w:pPr>
        <w:spacing w:line="360" w:before="315" w:after="105" w:lineRule="auto"/>
        <w:ind w:left="-30"/>
        <w:jc w:val="left"/>
      </w:pPr>
      <w:r>
        <w:rPr>
          <w:rFonts w:eastAsia="inter" w:cs="inter" w:ascii="inter" w:hAnsi="inter"/>
          <w:b/>
          <w:color w:val="000000"/>
          <w:sz w:val="24"/>
        </w:rPr>
        <w:t xml:space="preserve">Anti-Gaming Safeguards</w:t>
      </w:r>
    </w:p>
    <w:p>
      <w:pPr>
        <w:spacing w:line="360" w:after="210" w:lineRule="auto"/>
      </w:pPr>
      <w:r>
        <w:rPr>
          <w:rFonts w:eastAsia="inter" w:cs="inter" w:ascii="inter" w:hAnsi="inter"/>
          <w:b/>
          <w:color w:val="000000"/>
        </w:rPr>
        <w:t xml:space="preserve">Service Requirement</w:t>
      </w:r>
      <w:r>
        <w:rPr>
          <w:rFonts w:eastAsia="inter" w:cs="inter" w:ascii="inter" w:hAnsi="inter"/>
          <w:color w:val="000000"/>
        </w:rPr>
        <w:t xml:space="preserve">: Advancement requires demonstrated service to others, not just personal achievement. PPT ratios must maintain minimum thresholds for tier progression.</w:t>
      </w:r>
    </w:p>
    <w:p>
      <w:pPr>
        <w:spacing w:line="360" w:after="210" w:lineRule="auto"/>
      </w:pPr>
      <w:r>
        <w:rPr>
          <w:rFonts w:eastAsia="inter" w:cs="inter" w:ascii="inter" w:hAnsi="inter"/>
          <w:b/>
          <w:color w:val="000000"/>
        </w:rPr>
        <w:t xml:space="preserve">Peer Validation</w:t>
      </w:r>
      <w:r>
        <w:rPr>
          <w:rFonts w:eastAsia="inter" w:cs="inter" w:ascii="inter" w:hAnsi="inter"/>
          <w:color w:val="000000"/>
        </w:rPr>
        <w:t xml:space="preserve">: All tier advancement subject to community verification. Attempts to game the system trigger automatic review and potential tier adjustment.</w:t>
      </w:r>
    </w:p>
    <w:p>
      <w:pPr>
        <w:spacing w:line="360" w:after="210" w:lineRule="auto"/>
      </w:pPr>
      <w:r>
        <w:rPr>
          <w:rFonts w:eastAsia="inter" w:cs="inter" w:ascii="inter" w:hAnsi="inter"/>
          <w:b/>
          <w:color w:val="000000"/>
        </w:rPr>
        <w:t xml:space="preserve">Cyclical Renewal</w:t>
      </w:r>
      <w:r>
        <w:rPr>
          <w:rFonts w:eastAsia="inter" w:cs="inter" w:ascii="inter" w:hAnsi="inter"/>
          <w:color w:val="000000"/>
        </w:rPr>
        <w:t xml:space="preserve">: Star tiers require ongoing maintenance through continued service and evolution. Inactive entities naturally drift toward lower tiers, ensuring active community engagement.</w:t>
      </w:r>
    </w:p>
    <w:p>
      <w:pPr>
        <w:spacing w:line="360" w:before="315" w:after="105" w:lineRule="auto"/>
        <w:ind w:left="-30"/>
        <w:jc w:val="left"/>
      </w:pPr>
      <w:r>
        <w:rPr>
          <w:rFonts w:eastAsia="inter" w:cs="inter" w:ascii="inter" w:hAnsi="inter"/>
          <w:b/>
          <w:color w:val="000000"/>
          <w:sz w:val="24"/>
        </w:rPr>
        <w:t xml:space="preserve">Trust as Distributed Infrastructure</w:t>
      </w:r>
    </w:p>
    <w:p>
      <w:pPr>
        <w:spacing w:line="360" w:after="210" w:lineRule="auto"/>
      </w:pPr>
      <w:r>
        <w:rPr>
          <w:rFonts w:eastAsia="inter" w:cs="inter" w:ascii="inter" w:hAnsi="inter"/>
          <w:color w:val="000000"/>
        </w:rPr>
        <w:t xml:space="preserve">The Star system creates a web of trust that enables:</w:t>
      </w:r>
    </w:p>
    <w:p>
      <w:pPr>
        <w:numPr>
          <w:ilvl w:val="0"/>
          <w:numId w:val="7"/>
        </w:numPr>
        <w:spacing w:line="360" w:before="105" w:after="105" w:lineRule="auto"/>
      </w:pPr>
      <w:r>
        <w:rPr>
          <w:rFonts w:eastAsia="inter" w:cs="inter" w:ascii="inter" w:hAnsi="inter"/>
          <w:b/>
          <w:color w:val="000000"/>
          <w:sz w:val="21"/>
        </w:rPr>
        <w:t xml:space="preserve">Autonomous Contracting</w:t>
      </w:r>
      <w:r>
        <w:rPr>
          <w:rFonts w:eastAsia="inter" w:cs="inter" w:ascii="inter" w:hAnsi="inter"/>
          <w:color w:val="000000"/>
          <w:sz w:val="21"/>
        </w:rPr>
        <w:t xml:space="preserve">: Higher-tier entities can create larger, more complex offers with automatic community trust</w:t>
      </w:r>
    </w:p>
    <w:p>
      <w:pPr>
        <w:numPr>
          <w:ilvl w:val="0"/>
          <w:numId w:val="7"/>
        </w:numPr>
        <w:spacing w:line="360" w:before="105" w:after="105" w:lineRule="auto"/>
      </w:pPr>
      <w:r>
        <w:rPr>
          <w:rFonts w:eastAsia="inter" w:cs="inter" w:ascii="inter" w:hAnsi="inter"/>
          <w:b/>
          <w:color w:val="000000"/>
          <w:sz w:val="21"/>
        </w:rPr>
        <w:t xml:space="preserve">Resource Allocation</w:t>
      </w:r>
      <w:r>
        <w:rPr>
          <w:rFonts w:eastAsia="inter" w:cs="inter" w:ascii="inter" w:hAnsi="inter"/>
          <w:color w:val="000000"/>
          <w:sz w:val="21"/>
        </w:rPr>
        <w:t xml:space="preserve">: Nexus Nodes allocate resources based on collective star ratings of participants</w:t>
      </w:r>
    </w:p>
    <w:p>
      <w:pPr>
        <w:numPr>
          <w:ilvl w:val="0"/>
          <w:numId w:val="7"/>
        </w:numPr>
        <w:spacing w:line="360" w:before="105" w:after="105" w:lineRule="auto"/>
      </w:pPr>
      <w:r>
        <w:rPr>
          <w:rFonts w:eastAsia="inter" w:cs="inter" w:ascii="inter" w:hAnsi="inter"/>
          <w:b/>
          <w:color w:val="000000"/>
          <w:sz w:val="21"/>
        </w:rPr>
        <w:t xml:space="preserve">Quality Assurance</w:t>
      </w:r>
      <w:r>
        <w:rPr>
          <w:rFonts w:eastAsia="inter" w:cs="inter" w:ascii="inter" w:hAnsi="inter"/>
          <w:color w:val="000000"/>
          <w:sz w:val="21"/>
        </w:rPr>
        <w:t xml:space="preserve">: Quest and offer quality maintained through tier-based creation permissions</w:t>
      </w:r>
    </w:p>
    <w:p>
      <w:pPr>
        <w:numPr>
          <w:ilvl w:val="0"/>
          <w:numId w:val="7"/>
        </w:numPr>
        <w:spacing w:line="360" w:before="105" w:after="105" w:lineRule="auto"/>
      </w:pPr>
      <w:r>
        <w:rPr>
          <w:rFonts w:eastAsia="inter" w:cs="inter" w:ascii="inter" w:hAnsi="inter"/>
          <w:b/>
          <w:color w:val="000000"/>
          <w:sz w:val="21"/>
        </w:rPr>
        <w:t xml:space="preserve">Conflict Resolution</w:t>
      </w:r>
      <w:r>
        <w:rPr>
          <w:rFonts w:eastAsia="inter" w:cs="inter" w:ascii="inter" w:hAnsi="inter"/>
          <w:color w:val="000000"/>
          <w:sz w:val="21"/>
        </w:rPr>
        <w:t xml:space="preserve">: Multi-tier arbitration panels ensure fair dispute resolution at appropriate complexity levels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 The Living System</w:t>
      </w:r>
    </w:p>
    <w:p>
      <w:pPr>
        <w:spacing w:line="360" w:after="210" w:lineRule="auto"/>
      </w:pPr>
      <w:r>
        <w:rPr>
          <w:rFonts w:eastAsia="inter" w:cs="inter" w:ascii="inter" w:hAnsi="inter"/>
          <w:color w:val="000000"/>
        </w:rPr>
        <w:t xml:space="preserve">The C3 Alliance Journey Builder ecosystem represents more than a platform—it embodies a living philosophy of sovereign evolution within community context. By integrating ancient archetypal wisdom with cutting-edge blockchain technology, privacy-preserving infrastructure, and gamified experience mechanics, we create space for infinite becoming while maintaining collective coherence.</w:t>
      </w:r>
    </w:p>
    <w:p>
      <w:pPr>
        <w:spacing w:line="360" w:after="210" w:lineRule="auto"/>
      </w:pPr>
      <w:r>
        <w:rPr>
          <w:rFonts w:eastAsia="inter" w:cs="inter" w:ascii="inter" w:hAnsi="inter"/>
          <w:color w:val="000000"/>
        </w:rPr>
        <w:t xml:space="preserve">Every cosmic commoner becomes The Fool—eternally curious, perpetually evolving, infinitely sovereign—while contributing to a trustworthy, service-oriented community that honors both individual autonomy and collective flourishing. This is sovereignty as a service: maximum freedom within maximum trust, infinite potential within coherent structure, eternal evolution within eternal service.</w:t>
      </w:r>
    </w:p>
    <w:p>
      <w:pPr>
        <w:spacing w:line="360" w:after="210" w:lineRule="auto"/>
      </w:pPr>
      <w:r>
        <w:rPr>
          <w:rFonts w:eastAsia="inter" w:cs="inter" w:ascii="inter" w:hAnsi="inter"/>
          <w:color w:val="000000"/>
        </w:rPr>
        <w:t xml:space="preserve">The journey continues, and The Fool steps forward once again, ready for whatever emerges from the creative void of possibility.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2025-09-27T16:35:45.908Z</dcterms:created>
  <dcterms:modified xsi:type="dcterms:W3CDTF">2025-09-27T16:35:45.908Z</dcterms:modified>
</cp:coreProperties>
</file>