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v0.6 [Revised]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Incorporating Objective Impact-Based Reputation Systems, Dynamic NFT Monetization, and Enhanced Risk Mitigation for $TKR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STRATEGY REVISIONS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following updates to the $TKR section reflect the latest best practices in objective, impact-based reputation management, risk mitigation, and the dynamic monetization of non-speculative reputation NFTs, all leveraging the unique capabilities of Cardano native assets and verifiable credentials.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 (Revision)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(Tokenized Reputation) will now fully align with an </w:t>
      </w:r>
      <w:r>
        <w:rPr>
          <w:rFonts w:eastAsia="inter" w:cs="inter" w:ascii="inter" w:hAnsi="inter"/>
          <w:b/>
          <w:color w:val="000000"/>
          <w:sz w:val="21"/>
        </w:rPr>
        <w:t xml:space="preserve">Objective Impact-Based Reputation Model</w:t>
      </w:r>
      <w:r>
        <w:rPr>
          <w:rFonts w:eastAsia="inter" w:cs="inter" w:ascii="inter" w:hAnsi="inter"/>
          <w:color w:val="000000"/>
          <w:sz w:val="21"/>
        </w:rPr>
        <w:t xml:space="preserve">. Reputation calculation is driven exclusively by </w:t>
      </w:r>
      <w:r>
        <w:rPr>
          <w:rFonts w:eastAsia="inter" w:cs="inter" w:ascii="inter" w:hAnsi="inter"/>
          <w:b/>
          <w:color w:val="000000"/>
          <w:sz w:val="21"/>
        </w:rPr>
        <w:t xml:space="preserve">objectively verifiable performance data</w:t>
      </w:r>
      <w:r>
        <w:rPr>
          <w:rFonts w:eastAsia="inter" w:cs="inter" w:ascii="inter" w:hAnsi="inter"/>
          <w:color w:val="000000"/>
          <w:sz w:val="21"/>
        </w:rPr>
        <w:t xml:space="preserve"> as recorded through Impact Quest/Impact Offer (IQ/IO) contract milestones, eliminating subjectivity wherever possible.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NFT value is derived from fulfillment of IQ/IO contract terms, with performance variance (difference between contracted and delivered outcomes) quantitatively measured and directly integrated into reputation scoring.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 monetization of $TKR is now service-based and collateral-linked, not price-speculative. Monetization is driven by value-added outcomes in member services and access to enhanced credit (VELOC), without introducing token price volatility or market speculation.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Verified credentials are now critical value drivers: $TKR performance leverages blockchain-attested credentials, contract milestone attestation, and cryptographic proof of achievement for objective score calculation and cross-platform recognition.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risk mitigation is built into the $TKR scoring formula, including anti-gaming, multi-party verification, and real-time automated performance analytics.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$TKR Dynamic Reputation Asset System (Revised)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Objective, Non-Speculative Reputation Formula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$TKR scoring model is now built on </w:t>
      </w:r>
      <w:r>
        <w:rPr>
          <w:rFonts w:eastAsia="inter" w:cs="inter" w:ascii="inter" w:hAnsi="inter"/>
          <w:b/>
          <w:color w:val="000000"/>
        </w:rPr>
        <w:t xml:space="preserve">objective, contract-based assessments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Binary Completion:</w:t>
      </w:r>
      <w:r>
        <w:rPr>
          <w:rFonts w:eastAsia="inter" w:cs="inter" w:ascii="inter" w:hAnsi="inter"/>
          <w:color w:val="000000"/>
          <w:sz w:val="21"/>
        </w:rPr>
        <w:t xml:space="preserve"> Did the member/MECO fulfill the IQ/IO contract as specified? (recorded Yes/No on-chain)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Differential:</w:t>
      </w:r>
      <w:r>
        <w:rPr>
          <w:rFonts w:eastAsia="inter" w:cs="inter" w:ascii="inter" w:hAnsi="inter"/>
          <w:color w:val="000000"/>
          <w:sz w:val="21"/>
        </w:rPr>
        <w:t xml:space="preserve"> Quantitative measurement of any over/underperformance relative to specified deliverables, schedule, quality, and budget.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 Subjective Ratings:</w:t>
      </w:r>
      <w:r>
        <w:rPr>
          <w:rFonts w:eastAsia="inter" w:cs="inter" w:ascii="inter" w:hAnsi="inter"/>
          <w:color w:val="000000"/>
          <w:sz w:val="21"/>
        </w:rPr>
        <w:t xml:space="preserve"> Reputation no longer factors in ratings, likes, or qualitative opinion scores except as additional, non-weighted annotation for transparency.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Exemplary performance metrics now include: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Percentage of technical/functional specifications met or exceeded.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Days ahead of/behind deadline; timeliness variance.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Percentage budget over/under target for resource efficiency.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Objective fulfillment of innovation, scalability, or impact milestones.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claims must be verified either by automated smart contract milestone checks, oracle integration, or multi-party digital signatures.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Dynamic NFT Value Attribution for Monetization and Collateral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value is </w:t>
      </w:r>
      <w:r>
        <w:rPr>
          <w:rFonts w:eastAsia="inter" w:cs="inter" w:ascii="inter" w:hAnsi="inter"/>
          <w:b/>
          <w:color w:val="000000"/>
          <w:sz w:val="21"/>
        </w:rPr>
        <w:t xml:space="preserve">not</w:t>
      </w:r>
      <w:r>
        <w:rPr>
          <w:rFonts w:eastAsia="inter" w:cs="inter" w:ascii="inter" w:hAnsi="inter"/>
          <w:color w:val="000000"/>
          <w:sz w:val="21"/>
        </w:rPr>
        <w:t xml:space="preserve"> determined via speculative market action. Instead, it is calculated algorithmically based on accumulated verified, objectively measured IQ/IO performance.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tokens act as both a service trust credential and a collateral asset for VELOC credit, reputation staking, and premium service tiers.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Secondary market trading is limited to non-reputation factors (e.g., role NFTs or additional access keys), not the core, non-transferable $TKR rating.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Enhanced VELOC ratios are unlocked for members/MECOs with a provable record of objective success, improving credit access but not tradable reputation itself.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Risk Mitigation and Governance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Multi-source and time-series verification is required for all performance inputs to $TKR, preventing gaming or manipulation.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Periodic reputation decay is applied for long-term inactivity or reputational obsolescence.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Smart contract automation ensures transparent, dispute-resistant milestone verification and payout.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community oversight process can issue reputation challenges or audits, and all scoring formulas are open source and democratically reviewable.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2.4 Verified Credentials Integration Strategy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credentialed skills, degrees, project outcomes, or certifications must be blockchain-attested and linked to member DID for $TKR eligibility.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Selective disclosure, credential expiration, and revalidation cycles are supported to maintain score credibility.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updates trigger only with new, verifiable performance evidence—either milestone completion or newly minted credential.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 can export $TKR and credentials cross-platform for external verification, strengthening external recognition.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2.5 Dynamic Reputation Asset Creation: Cardano Native Token NFT Architecture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tokens are Cardano native asset NFTs with dynamic, on-chain metadata linking to every contract milestone, credential, and score update via hash or IPFS pointer.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$TKR NFT is non-transferable and uniquely bound to its holder's SSI-DID identity, preventing reputation pooling or trading.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metadata fields record audit-trail history for all reputation modifications, ensuring full transparency and antifragility for every member.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Monetization Without Speculation (Revision)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holders monetize their reputation through trusted service delivery, premium contract opportunities, and enhanced VELOC credit—</w:t>
      </w:r>
      <w:r>
        <w:rPr>
          <w:rFonts w:eastAsia="inter" w:cs="inter" w:ascii="inter" w:hAnsi="inter"/>
          <w:b/>
          <w:color w:val="000000"/>
          <w:sz w:val="21"/>
        </w:rPr>
        <w:t xml:space="preserve">never</w:t>
      </w:r>
      <w:r>
        <w:rPr>
          <w:rFonts w:eastAsia="inter" w:cs="inter" w:ascii="inter" w:hAnsi="inter"/>
          <w:color w:val="000000"/>
          <w:sz w:val="21"/>
        </w:rPr>
        <w:t xml:space="preserve"> through speculative buying/selling of reputation tokens.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Verified $TKR unlocks access to high-value roles, direct contract bundling, and ecosystem governance participation.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 can leverage $TKR as unforgeable proof of historic performance—empowering global reputation portability and premium service pricing based on trust, not hype.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 (Revision)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C3 $TKR strategy now embodies </w:t>
      </w:r>
      <w:r>
        <w:rPr>
          <w:rFonts w:eastAsia="inter" w:cs="inter" w:ascii="inter" w:hAnsi="inter"/>
          <w:b/>
          <w:color w:val="000000"/>
        </w:rPr>
        <w:t xml:space="preserve">global best practices for risk-proof, impact-based, dynamic reputation systems</w:t>
      </w:r>
      <w:r>
        <w:rPr>
          <w:rFonts w:eastAsia="inter" w:cs="inter" w:ascii="inter" w:hAnsi="inter"/>
          <w:color w:val="000000"/>
        </w:rPr>
        <w:t xml:space="preserve">. It abandons subjective, exploitable scoring in favor of measurable outcomes and antifragile, immutable records rooted in contract verification and blockchain credentialing, reinforcing both cooperative values and robust, non-speculative member wealth.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summary: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$TKR is now the world's first objectively-scored, dynamic NFT reputation system with native credential integration, spec-proof monetization, automated risk mitigation, and full Cardano compliance for sovereignty-aligned communities and MECOs.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whitepaper revision supersedes all previous $TKR strategy texts and is effective for all further C3 development.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2025-09-13T16:36:12.541Z</dcterms:created>
  <dcterms:modified xsi:type="dcterms:W3CDTF">2025-09-13T16:36:12.541Z</dcterms:modified>
</cp:coreProperties>
</file>