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KALLINA RATHA TEMPLE</w:t>
        <w:br/>
        <w:t>Hampi, Bellary, Karnataka, India</w:t>
      </w:r>
    </w:p>
    <w:p>
      <w:r>
        <w:t>God</w:t>
        <w:br/>
        <w:br/>
        <w:br/>
        <w:tab/>
        <w:t>Stone Chariot is a shrine dedicated to Garuda, the official vehicle of Lord Vishnu.</w:t>
        <w:br/>
        <w:br/>
        <w:br/>
        <w:br/>
        <w:br/>
        <w:t xml:space="preserve"> Interesting Facts</w:t>
        <w:br/>
        <w:br/>
        <w:br/>
        <w:br/>
        <w:tab/>
        <w:tab/>
        <w:t>Stone Chariot in Hampi is one of the three most popular stone chariots in India. Other two are in Konark (Odisha) and Mahabalipuram (Tamil Nadu).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8.7 KM</w:t>
        <w:br/>
        <w:t>08049596666</w:t>
        <w:br/>
        <w:br/>
        <w:br/>
        <w:t xml:space="preserve">  Hampi Junction          </w:t>
        <w:br/>
        <w:br/>
        <w:t>9.5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38.5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Stone Chariot is a shrine dedicated to Garuda, the official vehicle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Stone Chariot in Hampi is one of the three most popular stone chariots in India. Other two are in Konark (Odisha) and Mahabalipuram (Tamil Nadu).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Station</w:t>
        <w:br/>
        <w:t>8.7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9.5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38.5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