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Ganadería: Componentes y Desafíos</w:t>
      </w:r>
    </w:p>
    <w:p>
      <w:pPr>
        <w:pStyle w:val="Heading2"/>
      </w:pPr>
      <w:r>
        <w:t>Introducción</w:t>
      </w:r>
    </w:p>
    <w:p>
      <w:r>
        <w:t>La ganadería juega un papel crucial en la economía global, proporcionando productos como carne, leche y lana, además de ser un componente esencial de la agricultura sostenible y la gestión de tierras.</w:t>
      </w:r>
    </w:p>
    <w:p>
      <w:pPr>
        <w:pStyle w:val="Heading2"/>
      </w:pPr>
      <w:r>
        <w:t>Tipos de Ganadería</w:t>
      </w:r>
    </w:p>
    <w:p>
      <w:r>
        <w:t>Existen diversas formas de practicar la ganadería, dependiendo de los recursos disponibles y los objetivos de producción: 1. Ganadería extensiva: Se realiza en grandes áreas de pastoreo, con poca densidad de animales por hectárea. 2. Ganadería intensiva: Alta densidad de animales criados en espacios reducidos, usualmente para maximizar la producción rápida. 3. Ganadería mixta: Combina cultivos y cría de animales, aprovechando los recursos de manera eficiente.</w:t>
      </w:r>
    </w:p>
    <w:p>
      <w:pPr>
        <w:pStyle w:val="Heading2"/>
      </w:pPr>
      <w:r>
        <w:t>Salud Animal</w:t>
      </w:r>
    </w:p>
    <w:p>
      <w:r>
        <w:t>La salud animal es fundamental para una producción eficiente y sostenible. Incluye la vacunación, control de enfermedades, y nutrición adecuada, aspectos cruciales para mantener la productividad y bienestar animal.</w:t>
      </w:r>
    </w:p>
    <w:p>
      <w:pPr>
        <w:pStyle w:val="Heading2"/>
      </w:pPr>
      <w:r>
        <w:t>Impacto Ambiental</w:t>
      </w:r>
    </w:p>
    <w:p>
      <w:r>
        <w:t>La ganadería tiene un impacto significativo en el medio ambiente, incluyendo la emisión de gases de efecto invernadero, la utilización de grandes cantidades de agua y la conversión de tierras para pastoreo y cultivo de alimentos para animales.</w:t>
      </w:r>
    </w:p>
    <w:p>
      <w:pPr>
        <w:pStyle w:val="Heading2"/>
      </w:pPr>
      <w:r>
        <w:t>Tendencias Futuras</w:t>
      </w:r>
    </w:p>
    <w:p>
      <w:r>
        <w:t>Las tendencias futuras en la ganadería se enfocan en mejorar el bienestar animal y reducir el impacto ambiental. Esto incluye tecnologías para una ganadería más eficiente, alternativas a la carne tradicional y regulaciones más estrictas sobre bienestar animal.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