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9E4CA" w14:textId="77777777" w:rsidR="00FB0739" w:rsidRDefault="00FB0739" w:rsidP="00D81282">
      <w:pPr>
        <w:spacing w:line="360" w:lineRule="auto"/>
        <w:rPr>
          <w:rFonts w:asciiTheme="majorHAnsi" w:hAnsiTheme="majorHAnsi"/>
          <w:b/>
          <w:bCs/>
          <w:sz w:val="28"/>
          <w:szCs w:val="28"/>
        </w:rPr>
      </w:pPr>
    </w:p>
    <w:p w14:paraId="1DBC03F5" w14:textId="45C7B7AF" w:rsidR="00BF23D8" w:rsidRDefault="00D81282" w:rsidP="00FB0739">
      <w:pPr>
        <w:spacing w:line="360" w:lineRule="auto"/>
        <w:jc w:val="both"/>
        <w:rPr>
          <w:rFonts w:asciiTheme="majorHAnsi" w:hAnsiTheme="majorHAnsi" w:cs="Times New Roman"/>
          <w:b/>
          <w:bCs/>
          <w:sz w:val="28"/>
          <w:szCs w:val="28"/>
        </w:rPr>
      </w:pPr>
      <w:r w:rsidRPr="00D81282">
        <w:rPr>
          <w:rFonts w:asciiTheme="majorHAnsi" w:hAnsiTheme="majorHAnsi"/>
          <w:b/>
          <w:bCs/>
          <w:sz w:val="28"/>
          <w:szCs w:val="28"/>
        </w:rPr>
        <w:t>CHAPTER 1</w:t>
      </w:r>
      <w:r w:rsidR="00FB0739">
        <w:rPr>
          <w:rFonts w:asciiTheme="majorHAnsi" w:hAnsiTheme="majorHAnsi"/>
          <w:b/>
          <w:bCs/>
          <w:sz w:val="28"/>
          <w:szCs w:val="28"/>
        </w:rPr>
        <w:t xml:space="preserve">: </w:t>
      </w:r>
      <w:r w:rsidRPr="00D81282">
        <w:rPr>
          <w:rFonts w:asciiTheme="majorHAnsi" w:hAnsiTheme="majorHAnsi" w:cs="Times New Roman"/>
          <w:b/>
          <w:bCs/>
          <w:sz w:val="28"/>
          <w:szCs w:val="28"/>
        </w:rPr>
        <w:t>INTRODUCTION</w:t>
      </w:r>
    </w:p>
    <w:p w14:paraId="6A3E87CF" w14:textId="3F728B6A" w:rsidR="00D81282" w:rsidRDefault="00FB0739" w:rsidP="00D81282">
      <w:pPr>
        <w:spacing w:line="360" w:lineRule="auto"/>
        <w:jc w:val="both"/>
        <w:rPr>
          <w:rFonts w:ascii="Cambria" w:hAnsi="Cambria"/>
          <w:sz w:val="24"/>
          <w:szCs w:val="24"/>
        </w:rPr>
      </w:pPr>
      <w:r w:rsidRPr="00FB0739">
        <w:rPr>
          <w:rFonts w:ascii="Cambria" w:hAnsi="Cambria"/>
          <w:sz w:val="24"/>
          <w:szCs w:val="24"/>
        </w:rPr>
        <w:t>The design of a drone-based agricultural surveillance system aims to optimize resource utilization, enhance crop yields, and minimize environmental impacts through advanced technology integration. This system leverages various components such as drones, ground control stations (GCS), and sophisticated software to facilitate efficient agricultural monitoring and management.</w:t>
      </w:r>
    </w:p>
    <w:p w14:paraId="12BF5BE1" w14:textId="5D94EF24" w:rsidR="00FB0739" w:rsidRPr="00FB0739" w:rsidRDefault="00FB0739" w:rsidP="00FB0739">
      <w:pPr>
        <w:pStyle w:val="ListParagraph"/>
        <w:numPr>
          <w:ilvl w:val="1"/>
          <w:numId w:val="1"/>
        </w:numPr>
        <w:spacing w:line="360" w:lineRule="auto"/>
        <w:jc w:val="both"/>
        <w:rPr>
          <w:rFonts w:ascii="Cambria" w:hAnsi="Cambria"/>
          <w:b/>
          <w:bCs/>
          <w:sz w:val="26"/>
          <w:szCs w:val="26"/>
        </w:rPr>
      </w:pPr>
      <w:r w:rsidRPr="00FB0739">
        <w:rPr>
          <w:rFonts w:ascii="Cambria" w:hAnsi="Cambria"/>
          <w:b/>
          <w:bCs/>
          <w:sz w:val="26"/>
          <w:szCs w:val="26"/>
        </w:rPr>
        <w:t>Drone Communication and Control</w:t>
      </w:r>
    </w:p>
    <w:p w14:paraId="7D2A5F3F" w14:textId="68FE374C" w:rsidR="00FB0739" w:rsidRPr="00FB0739" w:rsidRDefault="00FB0739" w:rsidP="00FB0739">
      <w:pPr>
        <w:spacing w:line="360" w:lineRule="auto"/>
        <w:jc w:val="both"/>
        <w:rPr>
          <w:rFonts w:ascii="Cambria" w:hAnsi="Cambria"/>
          <w:b/>
          <w:bCs/>
          <w:sz w:val="24"/>
          <w:szCs w:val="24"/>
        </w:rPr>
      </w:pPr>
      <w:r w:rsidRPr="00FB0739">
        <w:rPr>
          <w:rFonts w:ascii="Cambria" w:hAnsi="Cambria"/>
          <w:b/>
          <w:bCs/>
          <w:sz w:val="24"/>
          <w:szCs w:val="24"/>
        </w:rPr>
        <w:t xml:space="preserve">1.1.1 </w:t>
      </w:r>
      <w:r w:rsidRPr="00FB0739">
        <w:rPr>
          <w:rFonts w:ascii="Cambria" w:hAnsi="Cambria"/>
          <w:b/>
          <w:bCs/>
          <w:sz w:val="24"/>
          <w:szCs w:val="24"/>
        </w:rPr>
        <w:t>Data Links</w:t>
      </w:r>
    </w:p>
    <w:p w14:paraId="12C181C6" w14:textId="2EB5E531" w:rsidR="00FB0739" w:rsidRDefault="00FB0739" w:rsidP="00FB0739">
      <w:pPr>
        <w:spacing w:line="360" w:lineRule="auto"/>
        <w:jc w:val="both"/>
        <w:rPr>
          <w:rFonts w:ascii="Cambria" w:hAnsi="Cambria"/>
          <w:sz w:val="24"/>
          <w:szCs w:val="24"/>
        </w:rPr>
      </w:pPr>
      <w:r w:rsidRPr="00FB0739">
        <w:rPr>
          <w:rFonts w:ascii="Cambria" w:hAnsi="Cambria"/>
          <w:sz w:val="24"/>
          <w:szCs w:val="24"/>
        </w:rPr>
        <w:t>Drones utilized in agricultural surveillance typically operate on stable communication frequencies, including 2.4 GHz and 5.8 GHz, ensuring uninterrupted control and data transfer during missions</w:t>
      </w:r>
      <w:r>
        <w:rPr>
          <w:rFonts w:ascii="Cambria" w:hAnsi="Cambria"/>
          <w:sz w:val="24"/>
          <w:szCs w:val="24"/>
        </w:rPr>
        <w:t xml:space="preserve"> </w:t>
      </w:r>
      <w:r w:rsidRPr="00FB0739">
        <w:rPr>
          <w:rFonts w:ascii="Cambria" w:hAnsi="Cambria"/>
          <w:sz w:val="24"/>
          <w:szCs w:val="24"/>
        </w:rPr>
        <w:t>[12]. The integration of 4G and 5G networks further extends the operational range of these drones, enabling Beyond Visual Line of Sight (BVLOS) operations, which is crucial for large-scale surveillance across expansive farmland</w:t>
      </w:r>
      <w:r>
        <w:rPr>
          <w:rFonts w:ascii="Cambria" w:hAnsi="Cambria"/>
          <w:sz w:val="24"/>
          <w:szCs w:val="24"/>
        </w:rPr>
        <w:t xml:space="preserve"> </w:t>
      </w:r>
      <w:r w:rsidRPr="00FB0739">
        <w:rPr>
          <w:rFonts w:ascii="Cambria" w:hAnsi="Cambria"/>
          <w:sz w:val="24"/>
          <w:szCs w:val="24"/>
        </w:rPr>
        <w:t>[12].</w:t>
      </w:r>
    </w:p>
    <w:p w14:paraId="13F33573" w14:textId="23170A8A" w:rsidR="00FB0739" w:rsidRDefault="00FB0739" w:rsidP="00FB0739">
      <w:pPr>
        <w:spacing w:line="360" w:lineRule="auto"/>
        <w:jc w:val="both"/>
        <w:rPr>
          <w:rFonts w:ascii="Cambria" w:hAnsi="Cambria"/>
          <w:b/>
          <w:bCs/>
          <w:sz w:val="24"/>
          <w:szCs w:val="24"/>
          <w:lang w:val="en-IN"/>
        </w:rPr>
      </w:pPr>
      <w:r w:rsidRPr="00FB0739">
        <w:rPr>
          <w:rFonts w:ascii="Cambria" w:hAnsi="Cambria"/>
          <w:b/>
          <w:bCs/>
          <w:sz w:val="24"/>
          <w:szCs w:val="24"/>
        </w:rPr>
        <w:t>1.1.2</w:t>
      </w:r>
      <w:r>
        <w:rPr>
          <w:rFonts w:ascii="Cambria" w:hAnsi="Cambria"/>
          <w:b/>
          <w:bCs/>
          <w:sz w:val="24"/>
          <w:szCs w:val="24"/>
        </w:rPr>
        <w:t xml:space="preserve"> </w:t>
      </w:r>
      <w:r w:rsidRPr="00FB0739">
        <w:rPr>
          <w:rFonts w:ascii="Cambria" w:hAnsi="Cambria"/>
          <w:b/>
          <w:bCs/>
          <w:sz w:val="24"/>
          <w:szCs w:val="24"/>
          <w:lang w:val="en-IN"/>
        </w:rPr>
        <w:t>Ground Control Stations (GCS)</w:t>
      </w:r>
    </w:p>
    <w:p w14:paraId="4FED9084" w14:textId="282ECFF9" w:rsidR="00FB0739" w:rsidRDefault="00FB0739" w:rsidP="00FB0739">
      <w:pPr>
        <w:spacing w:line="360" w:lineRule="auto"/>
        <w:jc w:val="both"/>
        <w:rPr>
          <w:rFonts w:ascii="Cambria" w:hAnsi="Cambria"/>
          <w:sz w:val="24"/>
          <w:szCs w:val="24"/>
          <w:lang w:val="en-IN"/>
        </w:rPr>
      </w:pPr>
      <w:r w:rsidRPr="00FB0739">
        <w:rPr>
          <w:rFonts w:ascii="Cambria" w:hAnsi="Cambria"/>
          <w:sz w:val="24"/>
          <w:szCs w:val="24"/>
          <w:lang w:val="en-IN"/>
        </w:rPr>
        <w:t xml:space="preserve">Ground control stations play a pivotal role in monitoring drone operations and managing mission plans. Modern </w:t>
      </w:r>
      <w:proofErr w:type="gramStart"/>
      <w:r w:rsidRPr="00FB0739">
        <w:rPr>
          <w:rFonts w:ascii="Cambria" w:hAnsi="Cambria"/>
          <w:sz w:val="24"/>
          <w:szCs w:val="24"/>
          <w:lang w:val="en-IN"/>
        </w:rPr>
        <w:t>GCS</w:t>
      </w:r>
      <w:proofErr w:type="gramEnd"/>
      <w:r w:rsidRPr="00FB0739">
        <w:rPr>
          <w:rFonts w:ascii="Cambria" w:hAnsi="Cambria"/>
          <w:sz w:val="24"/>
          <w:szCs w:val="24"/>
          <w:lang w:val="en-IN"/>
        </w:rPr>
        <w:t xml:space="preserve"> are equipped with powerful computing resources, high-resolution displays, and user-friendly interfaces that facilitate real-time mission management. The accompanying software allows for detailed mission planning, optimizing drone routes, and incorporating various data inputs, such as weather conditions and regulatory guidelines, to enhance operational efficiency</w:t>
      </w:r>
      <w:r>
        <w:rPr>
          <w:rFonts w:ascii="Cambria" w:hAnsi="Cambria"/>
          <w:sz w:val="24"/>
          <w:szCs w:val="24"/>
          <w:lang w:val="en-IN"/>
        </w:rPr>
        <w:t xml:space="preserve"> </w:t>
      </w:r>
      <w:r w:rsidRPr="00FB0739">
        <w:rPr>
          <w:rFonts w:ascii="Cambria" w:hAnsi="Cambria"/>
          <w:sz w:val="24"/>
          <w:szCs w:val="24"/>
          <w:lang w:val="en-IN"/>
        </w:rPr>
        <w:t>[12]</w:t>
      </w:r>
      <w:r>
        <w:rPr>
          <w:rFonts w:ascii="Cambria" w:hAnsi="Cambria"/>
          <w:sz w:val="24"/>
          <w:szCs w:val="24"/>
          <w:lang w:val="en-IN"/>
        </w:rPr>
        <w:t>.</w:t>
      </w:r>
    </w:p>
    <w:p w14:paraId="15545FF0" w14:textId="4314F66F" w:rsidR="00FB0739" w:rsidRPr="00FB0739" w:rsidRDefault="00FB0739" w:rsidP="00FB0739">
      <w:pPr>
        <w:spacing w:line="360" w:lineRule="auto"/>
        <w:jc w:val="both"/>
        <w:rPr>
          <w:rFonts w:ascii="Cambria" w:hAnsi="Cambria"/>
          <w:b/>
          <w:bCs/>
          <w:sz w:val="24"/>
          <w:szCs w:val="24"/>
          <w:lang w:val="en-IN"/>
        </w:rPr>
      </w:pPr>
      <w:r>
        <w:rPr>
          <w:rFonts w:ascii="Cambria" w:hAnsi="Cambria"/>
          <w:b/>
          <w:bCs/>
          <w:sz w:val="24"/>
          <w:szCs w:val="24"/>
          <w:lang w:val="en-IN"/>
        </w:rPr>
        <w:t xml:space="preserve">1.1.3 </w:t>
      </w:r>
      <w:r w:rsidRPr="00FB0739">
        <w:rPr>
          <w:rFonts w:ascii="Cambria" w:hAnsi="Cambria"/>
          <w:b/>
          <w:bCs/>
          <w:sz w:val="24"/>
          <w:szCs w:val="24"/>
          <w:lang w:val="en-IN"/>
        </w:rPr>
        <w:t>Drone Payloads</w:t>
      </w:r>
    </w:p>
    <w:p w14:paraId="4E84CD33" w14:textId="01DD5118" w:rsidR="00FB0739" w:rsidRDefault="00FB0739" w:rsidP="00FB0739">
      <w:pPr>
        <w:spacing w:line="360" w:lineRule="auto"/>
        <w:jc w:val="both"/>
        <w:rPr>
          <w:rFonts w:ascii="Cambria" w:hAnsi="Cambria"/>
          <w:sz w:val="24"/>
          <w:szCs w:val="24"/>
          <w:lang w:val="en-IN"/>
        </w:rPr>
      </w:pPr>
      <w:r w:rsidRPr="00FB0739">
        <w:rPr>
          <w:rFonts w:ascii="Cambria" w:hAnsi="Cambria"/>
          <w:sz w:val="24"/>
          <w:szCs w:val="24"/>
          <w:lang w:val="en-IN"/>
        </w:rPr>
        <w:t xml:space="preserve">The payload capabilities of agricultural drones vary by model, impacting their utility across different farm sizes and applications. For example, the Agras T70P drone can carry significant payloads—up to 70 </w:t>
      </w:r>
      <w:proofErr w:type="spellStart"/>
      <w:r w:rsidRPr="00FB0739">
        <w:rPr>
          <w:rFonts w:ascii="Cambria" w:hAnsi="Cambria"/>
          <w:sz w:val="24"/>
          <w:szCs w:val="24"/>
          <w:lang w:val="en-IN"/>
        </w:rPr>
        <w:t>liters</w:t>
      </w:r>
      <w:proofErr w:type="spellEnd"/>
      <w:r w:rsidRPr="00FB0739">
        <w:rPr>
          <w:rFonts w:ascii="Cambria" w:hAnsi="Cambria"/>
          <w:sz w:val="24"/>
          <w:szCs w:val="24"/>
          <w:lang w:val="en-IN"/>
        </w:rPr>
        <w:t xml:space="preserve"> for spraying or 100 </w:t>
      </w:r>
      <w:proofErr w:type="spellStart"/>
      <w:r w:rsidRPr="00FB0739">
        <w:rPr>
          <w:rFonts w:ascii="Cambria" w:hAnsi="Cambria"/>
          <w:sz w:val="24"/>
          <w:szCs w:val="24"/>
          <w:lang w:val="en-IN"/>
        </w:rPr>
        <w:t>liters</w:t>
      </w:r>
      <w:proofErr w:type="spellEnd"/>
      <w:r w:rsidRPr="00FB0739">
        <w:rPr>
          <w:rFonts w:ascii="Cambria" w:hAnsi="Cambria"/>
          <w:sz w:val="24"/>
          <w:szCs w:val="24"/>
          <w:lang w:val="en-IN"/>
        </w:rPr>
        <w:t xml:space="preserve"> for spreading—while also integrating advanced safety systems to enhance obstacle detection and route planning</w:t>
      </w:r>
      <w:r>
        <w:rPr>
          <w:rFonts w:ascii="Cambria" w:hAnsi="Cambria"/>
          <w:sz w:val="24"/>
          <w:szCs w:val="24"/>
          <w:lang w:val="en-IN"/>
        </w:rPr>
        <w:t xml:space="preserve"> </w:t>
      </w:r>
      <w:r w:rsidRPr="00FB0739">
        <w:rPr>
          <w:rFonts w:ascii="Cambria" w:hAnsi="Cambria"/>
          <w:sz w:val="24"/>
          <w:szCs w:val="24"/>
          <w:lang w:val="en-IN"/>
        </w:rPr>
        <w:t xml:space="preserve">[13][14]. In contrast, the compact Agras T25P is tailored for individual operators and small-scale farms, featuring a </w:t>
      </w:r>
      <w:proofErr w:type="gramStart"/>
      <w:r w:rsidRPr="00FB0739">
        <w:rPr>
          <w:rFonts w:ascii="Cambria" w:hAnsi="Cambria"/>
          <w:sz w:val="24"/>
          <w:szCs w:val="24"/>
          <w:lang w:val="en-IN"/>
        </w:rPr>
        <w:t>high-precision</w:t>
      </w:r>
      <w:proofErr w:type="gramEnd"/>
      <w:r w:rsidRPr="00FB0739">
        <w:rPr>
          <w:rFonts w:ascii="Cambria" w:hAnsi="Cambria"/>
          <w:sz w:val="24"/>
          <w:szCs w:val="24"/>
          <w:lang w:val="en-IN"/>
        </w:rPr>
        <w:t xml:space="preserve"> spreading system and fully automated functions for various agricultural tasks</w:t>
      </w:r>
      <w:r>
        <w:rPr>
          <w:rFonts w:ascii="Cambria" w:hAnsi="Cambria"/>
          <w:sz w:val="24"/>
          <w:szCs w:val="24"/>
          <w:lang w:val="en-IN"/>
        </w:rPr>
        <w:t xml:space="preserve"> </w:t>
      </w:r>
      <w:r w:rsidRPr="00FB0739">
        <w:rPr>
          <w:rFonts w:ascii="Cambria" w:hAnsi="Cambria"/>
          <w:sz w:val="24"/>
          <w:szCs w:val="24"/>
          <w:lang w:val="en-IN"/>
        </w:rPr>
        <w:t>[14]</w:t>
      </w:r>
      <w:r>
        <w:rPr>
          <w:rFonts w:ascii="Cambria" w:hAnsi="Cambria"/>
          <w:sz w:val="24"/>
          <w:szCs w:val="24"/>
          <w:lang w:val="en-IN"/>
        </w:rPr>
        <w:t>.</w:t>
      </w:r>
    </w:p>
    <w:p w14:paraId="78A88FC6" w14:textId="66E83DDB" w:rsidR="00FB0739" w:rsidRPr="00FB0739" w:rsidRDefault="00FB0739" w:rsidP="00FB0739">
      <w:pPr>
        <w:pStyle w:val="ListParagraph"/>
        <w:numPr>
          <w:ilvl w:val="1"/>
          <w:numId w:val="1"/>
        </w:numPr>
        <w:spacing w:line="360" w:lineRule="auto"/>
        <w:jc w:val="both"/>
        <w:rPr>
          <w:rFonts w:ascii="Cambria" w:hAnsi="Cambria"/>
          <w:b/>
          <w:bCs/>
          <w:sz w:val="26"/>
          <w:szCs w:val="26"/>
        </w:rPr>
      </w:pPr>
      <w:r w:rsidRPr="00FB0739">
        <w:rPr>
          <w:rFonts w:ascii="Cambria" w:hAnsi="Cambria"/>
          <w:b/>
          <w:bCs/>
          <w:sz w:val="26"/>
          <w:szCs w:val="26"/>
        </w:rPr>
        <w:t>Surveillance Capabilities</w:t>
      </w:r>
    </w:p>
    <w:p w14:paraId="03F51996" w14:textId="31DF7CA7" w:rsidR="00241D1D" w:rsidRPr="00241D1D" w:rsidRDefault="00241D1D" w:rsidP="00241D1D">
      <w:pPr>
        <w:spacing w:line="360" w:lineRule="auto"/>
        <w:jc w:val="both"/>
        <w:rPr>
          <w:rFonts w:ascii="Cambria" w:hAnsi="Cambria"/>
          <w:b/>
          <w:bCs/>
          <w:sz w:val="24"/>
          <w:szCs w:val="24"/>
          <w:lang w:val="en-IN"/>
        </w:rPr>
      </w:pPr>
      <w:r w:rsidRPr="00241D1D">
        <w:rPr>
          <w:rFonts w:ascii="Cambria" w:hAnsi="Cambria"/>
          <w:b/>
          <w:bCs/>
          <w:sz w:val="24"/>
          <w:szCs w:val="24"/>
          <w:lang w:val="en-IN"/>
        </w:rPr>
        <w:t xml:space="preserve">1.2.1 </w:t>
      </w:r>
      <w:r w:rsidRPr="00241D1D">
        <w:rPr>
          <w:rFonts w:ascii="Cambria" w:hAnsi="Cambria"/>
          <w:b/>
          <w:bCs/>
          <w:sz w:val="24"/>
          <w:szCs w:val="24"/>
          <w:lang w:val="en-IN"/>
        </w:rPr>
        <w:t>Imaging Technology</w:t>
      </w:r>
    </w:p>
    <w:p w14:paraId="6A7657C3" w14:textId="2FE2EE55" w:rsidR="00241D1D" w:rsidRPr="00241D1D" w:rsidRDefault="00241D1D" w:rsidP="00241D1D">
      <w:pPr>
        <w:spacing w:line="360" w:lineRule="auto"/>
        <w:jc w:val="both"/>
        <w:rPr>
          <w:rFonts w:ascii="Cambria" w:hAnsi="Cambria"/>
          <w:sz w:val="24"/>
          <w:szCs w:val="24"/>
          <w:lang w:val="en-IN"/>
        </w:rPr>
      </w:pPr>
      <w:r w:rsidRPr="00241D1D">
        <w:rPr>
          <w:rFonts w:ascii="Cambria" w:hAnsi="Cambria"/>
          <w:sz w:val="24"/>
          <w:szCs w:val="24"/>
          <w:lang w:val="en-IN"/>
        </w:rPr>
        <w:lastRenderedPageBreak/>
        <w:t>Drones equipped with high-resolution cameras, thermal sensors, and LiDAR technology enable comprehensive surveillance of agricultural fields. These technologies facilitate the collection of vital data regarding crop health, soil conditions, and environmental changes. By accessing hard-to-reach areas and capturing images from elevated positions, drones offer a unique perspective that enhances decision-making for farmers and agronomists</w:t>
      </w:r>
      <w:r>
        <w:rPr>
          <w:rFonts w:ascii="Cambria" w:hAnsi="Cambria"/>
          <w:sz w:val="24"/>
          <w:szCs w:val="24"/>
          <w:lang w:val="en-IN"/>
        </w:rPr>
        <w:t xml:space="preserve"> </w:t>
      </w:r>
      <w:r w:rsidRPr="00241D1D">
        <w:rPr>
          <w:rFonts w:ascii="Cambria" w:hAnsi="Cambria"/>
          <w:sz w:val="24"/>
          <w:szCs w:val="24"/>
          <w:lang w:val="en-IN"/>
        </w:rPr>
        <w:t>[15].</w:t>
      </w:r>
    </w:p>
    <w:p w14:paraId="1A798D42" w14:textId="72CCF5A0" w:rsidR="00241D1D" w:rsidRPr="00241D1D" w:rsidRDefault="00241D1D" w:rsidP="00241D1D">
      <w:pPr>
        <w:spacing w:line="360" w:lineRule="auto"/>
        <w:jc w:val="both"/>
        <w:rPr>
          <w:rFonts w:ascii="Cambria" w:hAnsi="Cambria"/>
          <w:b/>
          <w:bCs/>
          <w:sz w:val="24"/>
          <w:szCs w:val="24"/>
          <w:lang w:val="en-IN"/>
        </w:rPr>
      </w:pPr>
      <w:r w:rsidRPr="00241D1D">
        <w:rPr>
          <w:rFonts w:ascii="Cambria" w:hAnsi="Cambria"/>
          <w:b/>
          <w:bCs/>
          <w:sz w:val="24"/>
          <w:szCs w:val="24"/>
          <w:lang w:val="en-IN"/>
        </w:rPr>
        <w:t>1.2.</w:t>
      </w:r>
      <w:r>
        <w:rPr>
          <w:rFonts w:ascii="Cambria" w:hAnsi="Cambria"/>
          <w:b/>
          <w:bCs/>
          <w:sz w:val="24"/>
          <w:szCs w:val="24"/>
          <w:lang w:val="en-IN"/>
        </w:rPr>
        <w:t>2</w:t>
      </w:r>
      <w:r w:rsidRPr="00241D1D">
        <w:rPr>
          <w:rFonts w:ascii="Cambria" w:hAnsi="Cambria"/>
          <w:b/>
          <w:bCs/>
          <w:sz w:val="24"/>
          <w:szCs w:val="24"/>
          <w:lang w:val="en-IN"/>
        </w:rPr>
        <w:t xml:space="preserve"> Automation and Data Processing</w:t>
      </w:r>
    </w:p>
    <w:p w14:paraId="2421B8A1" w14:textId="704C082F" w:rsidR="00FB0739" w:rsidRDefault="00241D1D" w:rsidP="00241D1D">
      <w:pPr>
        <w:spacing w:line="360" w:lineRule="auto"/>
        <w:jc w:val="both"/>
        <w:rPr>
          <w:rFonts w:ascii="Cambria" w:hAnsi="Cambria"/>
          <w:sz w:val="24"/>
          <w:szCs w:val="24"/>
          <w:lang w:val="en-IN"/>
        </w:rPr>
      </w:pPr>
      <w:r w:rsidRPr="00241D1D">
        <w:rPr>
          <w:rFonts w:ascii="Cambria" w:hAnsi="Cambria"/>
          <w:sz w:val="24"/>
          <w:szCs w:val="24"/>
          <w:lang w:val="en-IN"/>
        </w:rPr>
        <w:t xml:space="preserve">The effective operation of a drone surveillance system requires the integration of intelligent automation software, which allows for pre-programmed flight paths and real-time data monitoring. The automation capabilities include functions like aerial mapping and terrain-following spraying, ensuring precision and efficiency in agricultural practices. Data collected during flights can be </w:t>
      </w:r>
      <w:proofErr w:type="spellStart"/>
      <w:r w:rsidRPr="00241D1D">
        <w:rPr>
          <w:rFonts w:ascii="Cambria" w:hAnsi="Cambria"/>
          <w:sz w:val="24"/>
          <w:szCs w:val="24"/>
          <w:lang w:val="en-IN"/>
        </w:rPr>
        <w:t>analyzed</w:t>
      </w:r>
      <w:proofErr w:type="spellEnd"/>
      <w:r w:rsidRPr="00241D1D">
        <w:rPr>
          <w:rFonts w:ascii="Cambria" w:hAnsi="Cambria"/>
          <w:sz w:val="24"/>
          <w:szCs w:val="24"/>
          <w:lang w:val="en-IN"/>
        </w:rPr>
        <w:t xml:space="preserve"> to inform farming strategies and improve yield outcomes</w:t>
      </w:r>
      <w:r>
        <w:rPr>
          <w:rFonts w:ascii="Cambria" w:hAnsi="Cambria"/>
          <w:sz w:val="24"/>
          <w:szCs w:val="24"/>
          <w:lang w:val="en-IN"/>
        </w:rPr>
        <w:t xml:space="preserve"> </w:t>
      </w:r>
      <w:r w:rsidRPr="00241D1D">
        <w:rPr>
          <w:rFonts w:ascii="Cambria" w:hAnsi="Cambria"/>
          <w:sz w:val="24"/>
          <w:szCs w:val="24"/>
          <w:lang w:val="en-IN"/>
        </w:rPr>
        <w:t>[15][16].</w:t>
      </w:r>
    </w:p>
    <w:p w14:paraId="668EC046" w14:textId="241A17AE" w:rsidR="00093500" w:rsidRDefault="00093500" w:rsidP="00093500">
      <w:pPr>
        <w:spacing w:after="0" w:line="360" w:lineRule="auto"/>
        <w:jc w:val="center"/>
        <w:rPr>
          <w:rFonts w:ascii="Cambria" w:hAnsi="Cambria"/>
          <w:sz w:val="24"/>
          <w:szCs w:val="24"/>
          <w:lang w:val="en-IN"/>
        </w:rPr>
      </w:pPr>
      <w:r>
        <w:rPr>
          <w:noProof/>
        </w:rPr>
        <w:drawing>
          <wp:inline distT="0" distB="0" distL="0" distR="0" wp14:anchorId="3D9F9255" wp14:editId="28C05D6A">
            <wp:extent cx="2962275" cy="2924175"/>
            <wp:effectExtent l="0" t="0" r="0" b="0"/>
            <wp:docPr id="849586636" name="Picture 2" descr="A diagram of a dr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86636" name="Picture 2" descr="A diagram of a dron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62275" cy="2924175"/>
                    </a:xfrm>
                    <a:prstGeom prst="rect">
                      <a:avLst/>
                    </a:prstGeom>
                    <a:noFill/>
                    <a:ln>
                      <a:noFill/>
                    </a:ln>
                  </pic:spPr>
                </pic:pic>
              </a:graphicData>
            </a:graphic>
          </wp:inline>
        </w:drawing>
      </w:r>
    </w:p>
    <w:p w14:paraId="1A9C8ACC" w14:textId="6521B6D1" w:rsidR="00093500" w:rsidRDefault="00093500" w:rsidP="00093500">
      <w:pPr>
        <w:spacing w:line="360" w:lineRule="auto"/>
        <w:jc w:val="center"/>
        <w:rPr>
          <w:rFonts w:ascii="Cambria" w:hAnsi="Cambria"/>
          <w:sz w:val="24"/>
          <w:szCs w:val="24"/>
          <w:lang w:val="en-IN"/>
        </w:rPr>
      </w:pPr>
      <w:r w:rsidRPr="00093500">
        <w:rPr>
          <w:rFonts w:ascii="Cambria" w:hAnsi="Cambria"/>
          <w:b/>
          <w:bCs/>
          <w:sz w:val="24"/>
          <w:szCs w:val="24"/>
          <w:lang w:val="en-IN"/>
        </w:rPr>
        <w:t>Figure 1.</w:t>
      </w:r>
      <w:r>
        <w:rPr>
          <w:rFonts w:ascii="Cambria" w:hAnsi="Cambria"/>
          <w:sz w:val="24"/>
          <w:szCs w:val="24"/>
          <w:lang w:val="en-IN"/>
        </w:rPr>
        <w:t xml:space="preserve"> System </w:t>
      </w:r>
      <w:r w:rsidR="00F05037">
        <w:rPr>
          <w:rFonts w:ascii="Cambria" w:hAnsi="Cambria"/>
          <w:sz w:val="24"/>
          <w:szCs w:val="24"/>
          <w:lang w:val="en-IN"/>
        </w:rPr>
        <w:t>Architecture</w:t>
      </w:r>
    </w:p>
    <w:p w14:paraId="43CB6954" w14:textId="3C749458" w:rsidR="00BA5D80" w:rsidRDefault="00BA5D80" w:rsidP="00BA5D80">
      <w:pPr>
        <w:spacing w:after="0" w:line="360" w:lineRule="auto"/>
        <w:jc w:val="center"/>
        <w:rPr>
          <w:rFonts w:ascii="Cambria" w:hAnsi="Cambria"/>
          <w:sz w:val="24"/>
          <w:szCs w:val="24"/>
          <w:lang w:val="en-IN"/>
        </w:rPr>
      </w:pPr>
      <w:r>
        <w:rPr>
          <w:rFonts w:ascii="Cambria" w:hAnsi="Cambria"/>
          <w:b/>
          <w:bCs/>
          <w:sz w:val="24"/>
          <w:szCs w:val="24"/>
          <w:lang w:val="en-IN"/>
        </w:rPr>
        <w:t>Table</w:t>
      </w:r>
      <w:r w:rsidRPr="00093500">
        <w:rPr>
          <w:rFonts w:ascii="Cambria" w:hAnsi="Cambria"/>
          <w:b/>
          <w:bCs/>
          <w:sz w:val="24"/>
          <w:szCs w:val="24"/>
          <w:lang w:val="en-IN"/>
        </w:rPr>
        <w:t xml:space="preserve"> 1.</w:t>
      </w:r>
      <w:r>
        <w:rPr>
          <w:rFonts w:ascii="Cambria" w:hAnsi="Cambria"/>
          <w:sz w:val="24"/>
          <w:szCs w:val="24"/>
          <w:lang w:val="en-IN"/>
        </w:rPr>
        <w:t xml:space="preserve"> </w:t>
      </w:r>
      <w:r w:rsidRPr="00BA5D80">
        <w:rPr>
          <w:rFonts w:ascii="Cambria" w:hAnsi="Cambria"/>
          <w:sz w:val="24"/>
          <w:szCs w:val="24"/>
          <w:lang w:val="en-IN"/>
        </w:rPr>
        <w:t>Comparative Analysis of Drone Technologies and Their Agricultural Applications</w:t>
      </w:r>
    </w:p>
    <w:tbl>
      <w:tblPr>
        <w:tblW w:w="39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2086"/>
        <w:gridCol w:w="1711"/>
        <w:gridCol w:w="1449"/>
        <w:gridCol w:w="1427"/>
      </w:tblGrid>
      <w:tr w:rsidR="004F750D" w:rsidRPr="00BA5D80" w14:paraId="7E321797" w14:textId="77777777" w:rsidTr="004F750D">
        <w:trPr>
          <w:trHeight w:val="900"/>
          <w:jc w:val="center"/>
        </w:trPr>
        <w:tc>
          <w:tcPr>
            <w:tcW w:w="1007" w:type="pct"/>
            <w:vAlign w:val="center"/>
            <w:hideMark/>
          </w:tcPr>
          <w:p w14:paraId="2F4E5DCC" w14:textId="77777777" w:rsidR="004F750D" w:rsidRPr="00BA5D80" w:rsidRDefault="004F750D" w:rsidP="00BA5D80">
            <w:pPr>
              <w:spacing w:after="0" w:line="240" w:lineRule="auto"/>
              <w:jc w:val="center"/>
              <w:rPr>
                <w:rFonts w:asciiTheme="majorHAnsi" w:eastAsia="Times New Roman" w:hAnsiTheme="majorHAnsi" w:cs="Times New Roman"/>
                <w:b/>
                <w:bCs/>
                <w:color w:val="000000"/>
                <w:kern w:val="0"/>
                <w:lang w:val="en-IN" w:eastAsia="en-IN"/>
                <w14:ligatures w14:val="none"/>
              </w:rPr>
            </w:pPr>
            <w:r w:rsidRPr="00BA5D80">
              <w:rPr>
                <w:rFonts w:asciiTheme="majorHAnsi" w:eastAsia="Times New Roman" w:hAnsiTheme="majorHAnsi" w:cs="Times New Roman"/>
                <w:b/>
                <w:bCs/>
                <w:color w:val="000000"/>
                <w:kern w:val="0"/>
                <w:lang w:val="en-IN" w:eastAsia="en-IN"/>
                <w14:ligatures w14:val="none"/>
              </w:rPr>
              <w:t>Drone Technology</w:t>
            </w:r>
          </w:p>
        </w:tc>
        <w:tc>
          <w:tcPr>
            <w:tcW w:w="1248" w:type="pct"/>
            <w:vAlign w:val="center"/>
            <w:hideMark/>
          </w:tcPr>
          <w:p w14:paraId="6C711B9F" w14:textId="77777777" w:rsidR="004F750D" w:rsidRPr="00BA5D80" w:rsidRDefault="004F750D" w:rsidP="00BA5D80">
            <w:pPr>
              <w:spacing w:after="0" w:line="240" w:lineRule="auto"/>
              <w:jc w:val="center"/>
              <w:rPr>
                <w:rFonts w:asciiTheme="majorHAnsi" w:eastAsia="Times New Roman" w:hAnsiTheme="majorHAnsi" w:cs="Times New Roman"/>
                <w:b/>
                <w:bCs/>
                <w:color w:val="000000"/>
                <w:kern w:val="0"/>
                <w:lang w:val="en-IN" w:eastAsia="en-IN"/>
                <w14:ligatures w14:val="none"/>
              </w:rPr>
            </w:pPr>
            <w:r w:rsidRPr="00BA5D80">
              <w:rPr>
                <w:rFonts w:asciiTheme="majorHAnsi" w:eastAsia="Times New Roman" w:hAnsiTheme="majorHAnsi" w:cs="Times New Roman"/>
                <w:b/>
                <w:bCs/>
                <w:color w:val="000000"/>
                <w:kern w:val="0"/>
                <w:lang w:val="en-IN" w:eastAsia="en-IN"/>
                <w14:ligatures w14:val="none"/>
              </w:rPr>
              <w:t>Primary Agricultural Use</w:t>
            </w:r>
          </w:p>
        </w:tc>
        <w:tc>
          <w:tcPr>
            <w:tcW w:w="1024" w:type="pct"/>
            <w:vAlign w:val="center"/>
            <w:hideMark/>
          </w:tcPr>
          <w:p w14:paraId="4A3D8BA9" w14:textId="77777777" w:rsidR="004F750D" w:rsidRPr="00BA5D80" w:rsidRDefault="004F750D" w:rsidP="00BA5D80">
            <w:pPr>
              <w:spacing w:after="0" w:line="240" w:lineRule="auto"/>
              <w:jc w:val="center"/>
              <w:rPr>
                <w:rFonts w:asciiTheme="majorHAnsi" w:eastAsia="Times New Roman" w:hAnsiTheme="majorHAnsi" w:cs="Times New Roman"/>
                <w:b/>
                <w:bCs/>
                <w:color w:val="000000"/>
                <w:kern w:val="0"/>
                <w:lang w:val="en-IN" w:eastAsia="en-IN"/>
                <w14:ligatures w14:val="none"/>
              </w:rPr>
            </w:pPr>
            <w:r w:rsidRPr="00BA5D80">
              <w:rPr>
                <w:rFonts w:asciiTheme="majorHAnsi" w:eastAsia="Times New Roman" w:hAnsiTheme="majorHAnsi" w:cs="Times New Roman"/>
                <w:b/>
                <w:bCs/>
                <w:color w:val="000000"/>
                <w:kern w:val="0"/>
                <w:lang w:val="en-IN" w:eastAsia="en-IN"/>
                <w14:ligatures w14:val="none"/>
              </w:rPr>
              <w:t>Flight Endurance</w:t>
            </w:r>
          </w:p>
        </w:tc>
        <w:tc>
          <w:tcPr>
            <w:tcW w:w="867" w:type="pct"/>
            <w:vAlign w:val="center"/>
            <w:hideMark/>
          </w:tcPr>
          <w:p w14:paraId="3623B7A0" w14:textId="77777777" w:rsidR="004F750D" w:rsidRPr="00BA5D80" w:rsidRDefault="004F750D" w:rsidP="00BA5D80">
            <w:pPr>
              <w:spacing w:after="0" w:line="240" w:lineRule="auto"/>
              <w:jc w:val="center"/>
              <w:rPr>
                <w:rFonts w:asciiTheme="majorHAnsi" w:eastAsia="Times New Roman" w:hAnsiTheme="majorHAnsi" w:cs="Times New Roman"/>
                <w:b/>
                <w:bCs/>
                <w:color w:val="000000"/>
                <w:kern w:val="0"/>
                <w:lang w:val="en-IN" w:eastAsia="en-IN"/>
                <w14:ligatures w14:val="none"/>
              </w:rPr>
            </w:pPr>
            <w:r w:rsidRPr="00BA5D80">
              <w:rPr>
                <w:rFonts w:asciiTheme="majorHAnsi" w:eastAsia="Times New Roman" w:hAnsiTheme="majorHAnsi" w:cs="Times New Roman"/>
                <w:b/>
                <w:bCs/>
                <w:color w:val="000000"/>
                <w:kern w:val="0"/>
                <w:lang w:val="en-IN" w:eastAsia="en-IN"/>
                <w14:ligatures w14:val="none"/>
              </w:rPr>
              <w:t>Coverage Efficiency</w:t>
            </w:r>
          </w:p>
        </w:tc>
        <w:tc>
          <w:tcPr>
            <w:tcW w:w="854" w:type="pct"/>
            <w:vAlign w:val="center"/>
            <w:hideMark/>
          </w:tcPr>
          <w:p w14:paraId="134837D0" w14:textId="77777777" w:rsidR="004F750D" w:rsidRPr="00BA5D80" w:rsidRDefault="004F750D" w:rsidP="00BA5D80">
            <w:pPr>
              <w:spacing w:after="0" w:line="240" w:lineRule="auto"/>
              <w:jc w:val="center"/>
              <w:rPr>
                <w:rFonts w:asciiTheme="majorHAnsi" w:eastAsia="Times New Roman" w:hAnsiTheme="majorHAnsi" w:cs="Times New Roman"/>
                <w:b/>
                <w:bCs/>
                <w:color w:val="000000"/>
                <w:kern w:val="0"/>
                <w:lang w:val="en-IN" w:eastAsia="en-IN"/>
                <w14:ligatures w14:val="none"/>
              </w:rPr>
            </w:pPr>
            <w:r w:rsidRPr="00BA5D80">
              <w:rPr>
                <w:rFonts w:asciiTheme="majorHAnsi" w:eastAsia="Times New Roman" w:hAnsiTheme="majorHAnsi" w:cs="Times New Roman"/>
                <w:b/>
                <w:bCs/>
                <w:color w:val="000000"/>
                <w:kern w:val="0"/>
                <w:lang w:val="en-IN" w:eastAsia="en-IN"/>
                <w14:ligatures w14:val="none"/>
              </w:rPr>
              <w:t>Payload Capacity</w:t>
            </w:r>
          </w:p>
        </w:tc>
      </w:tr>
      <w:tr w:rsidR="004F750D" w:rsidRPr="00BA5D80" w14:paraId="2ADD9FB1" w14:textId="77777777" w:rsidTr="004F750D">
        <w:trPr>
          <w:trHeight w:val="1200"/>
          <w:jc w:val="center"/>
        </w:trPr>
        <w:tc>
          <w:tcPr>
            <w:tcW w:w="1007" w:type="pct"/>
            <w:vAlign w:val="center"/>
            <w:hideMark/>
          </w:tcPr>
          <w:p w14:paraId="62BFEFC5" w14:textId="77777777" w:rsidR="004F750D" w:rsidRPr="00BA5D80" w:rsidRDefault="004F750D" w:rsidP="00BA5D80">
            <w:pPr>
              <w:spacing w:after="0" w:line="240" w:lineRule="auto"/>
              <w:jc w:val="center"/>
              <w:rPr>
                <w:rFonts w:asciiTheme="majorHAnsi" w:eastAsia="Times New Roman" w:hAnsiTheme="majorHAnsi" w:cs="Times New Roman"/>
                <w:b/>
                <w:bCs/>
                <w:color w:val="000000"/>
                <w:kern w:val="0"/>
                <w:lang w:val="en-IN" w:eastAsia="en-IN"/>
                <w14:ligatures w14:val="none"/>
              </w:rPr>
            </w:pPr>
            <w:r w:rsidRPr="00BA5D80">
              <w:rPr>
                <w:rFonts w:asciiTheme="majorHAnsi" w:eastAsia="Times New Roman" w:hAnsiTheme="majorHAnsi" w:cs="Times New Roman"/>
                <w:b/>
                <w:bCs/>
                <w:color w:val="000000"/>
                <w:kern w:val="0"/>
                <w:lang w:val="en-IN" w:eastAsia="en-IN"/>
                <w14:ligatures w14:val="none"/>
              </w:rPr>
              <w:t>Multirotor Drones</w:t>
            </w:r>
          </w:p>
        </w:tc>
        <w:tc>
          <w:tcPr>
            <w:tcW w:w="1248" w:type="pct"/>
            <w:vAlign w:val="center"/>
            <w:hideMark/>
          </w:tcPr>
          <w:p w14:paraId="785E3267" w14:textId="77777777" w:rsidR="004F750D" w:rsidRPr="00BA5D80" w:rsidRDefault="004F750D" w:rsidP="00BA5D80">
            <w:pPr>
              <w:spacing w:after="0" w:line="240" w:lineRule="auto"/>
              <w:jc w:val="center"/>
              <w:rPr>
                <w:rFonts w:asciiTheme="majorHAnsi" w:eastAsia="Times New Roman" w:hAnsiTheme="majorHAnsi" w:cs="Times New Roman"/>
                <w:color w:val="000000"/>
                <w:kern w:val="0"/>
                <w:lang w:val="en-IN" w:eastAsia="en-IN"/>
                <w14:ligatures w14:val="none"/>
              </w:rPr>
            </w:pPr>
            <w:r w:rsidRPr="00BA5D80">
              <w:rPr>
                <w:rFonts w:asciiTheme="majorHAnsi" w:eastAsia="Times New Roman" w:hAnsiTheme="majorHAnsi" w:cs="Times New Roman"/>
                <w:color w:val="000000"/>
                <w:kern w:val="0"/>
                <w:lang w:val="en-IN" w:eastAsia="en-IN"/>
                <w14:ligatures w14:val="none"/>
              </w:rPr>
              <w:t>Crop monitoring, precision spraying</w:t>
            </w:r>
          </w:p>
        </w:tc>
        <w:tc>
          <w:tcPr>
            <w:tcW w:w="1024" w:type="pct"/>
            <w:vAlign w:val="center"/>
            <w:hideMark/>
          </w:tcPr>
          <w:p w14:paraId="50C09174" w14:textId="77777777" w:rsidR="004F750D" w:rsidRPr="00BA5D80" w:rsidRDefault="004F750D" w:rsidP="00BA5D80">
            <w:pPr>
              <w:spacing w:after="0" w:line="240" w:lineRule="auto"/>
              <w:jc w:val="center"/>
              <w:rPr>
                <w:rFonts w:asciiTheme="majorHAnsi" w:eastAsia="Times New Roman" w:hAnsiTheme="majorHAnsi" w:cs="Times New Roman"/>
                <w:color w:val="000000"/>
                <w:kern w:val="0"/>
                <w:lang w:val="en-IN" w:eastAsia="en-IN"/>
                <w14:ligatures w14:val="none"/>
              </w:rPr>
            </w:pPr>
            <w:r w:rsidRPr="00BA5D80">
              <w:rPr>
                <w:rFonts w:asciiTheme="majorHAnsi" w:eastAsia="Times New Roman" w:hAnsiTheme="majorHAnsi" w:cs="Times New Roman"/>
                <w:color w:val="000000"/>
                <w:kern w:val="0"/>
                <w:lang w:val="en-IN" w:eastAsia="en-IN"/>
                <w14:ligatures w14:val="none"/>
              </w:rPr>
              <w:t>Low–Medium (15–40 min)</w:t>
            </w:r>
          </w:p>
        </w:tc>
        <w:tc>
          <w:tcPr>
            <w:tcW w:w="867" w:type="pct"/>
            <w:vAlign w:val="center"/>
            <w:hideMark/>
          </w:tcPr>
          <w:p w14:paraId="0698E8AF" w14:textId="77777777" w:rsidR="004F750D" w:rsidRPr="00BA5D80" w:rsidRDefault="004F750D" w:rsidP="00BA5D80">
            <w:pPr>
              <w:spacing w:after="0" w:line="240" w:lineRule="auto"/>
              <w:jc w:val="center"/>
              <w:rPr>
                <w:rFonts w:asciiTheme="majorHAnsi" w:eastAsia="Times New Roman" w:hAnsiTheme="majorHAnsi" w:cs="Times New Roman"/>
                <w:color w:val="000000"/>
                <w:kern w:val="0"/>
                <w:lang w:val="en-IN" w:eastAsia="en-IN"/>
                <w14:ligatures w14:val="none"/>
              </w:rPr>
            </w:pPr>
            <w:r w:rsidRPr="00BA5D80">
              <w:rPr>
                <w:rFonts w:asciiTheme="majorHAnsi" w:eastAsia="Times New Roman" w:hAnsiTheme="majorHAnsi" w:cs="Times New Roman"/>
                <w:color w:val="000000"/>
                <w:kern w:val="0"/>
                <w:lang w:val="en-IN" w:eastAsia="en-IN"/>
                <w14:ligatures w14:val="none"/>
              </w:rPr>
              <w:t>Low–Medium</w:t>
            </w:r>
          </w:p>
        </w:tc>
        <w:tc>
          <w:tcPr>
            <w:tcW w:w="854" w:type="pct"/>
            <w:vAlign w:val="center"/>
            <w:hideMark/>
          </w:tcPr>
          <w:p w14:paraId="33233760" w14:textId="77777777" w:rsidR="004F750D" w:rsidRPr="00BA5D80" w:rsidRDefault="004F750D" w:rsidP="00BA5D80">
            <w:pPr>
              <w:spacing w:after="0" w:line="240" w:lineRule="auto"/>
              <w:jc w:val="center"/>
              <w:rPr>
                <w:rFonts w:asciiTheme="majorHAnsi" w:eastAsia="Times New Roman" w:hAnsiTheme="majorHAnsi" w:cs="Times New Roman"/>
                <w:color w:val="000000"/>
                <w:kern w:val="0"/>
                <w:lang w:val="en-IN" w:eastAsia="en-IN"/>
                <w14:ligatures w14:val="none"/>
              </w:rPr>
            </w:pPr>
            <w:r w:rsidRPr="00BA5D80">
              <w:rPr>
                <w:rFonts w:asciiTheme="majorHAnsi" w:eastAsia="Times New Roman" w:hAnsiTheme="majorHAnsi" w:cs="Times New Roman"/>
                <w:color w:val="000000"/>
                <w:kern w:val="0"/>
                <w:lang w:val="en-IN" w:eastAsia="en-IN"/>
                <w14:ligatures w14:val="none"/>
              </w:rPr>
              <w:t>Low–Medium (2–10 kg)</w:t>
            </w:r>
          </w:p>
        </w:tc>
      </w:tr>
      <w:tr w:rsidR="004F750D" w:rsidRPr="00BA5D80" w14:paraId="5BBBB6C3" w14:textId="77777777" w:rsidTr="004F750D">
        <w:trPr>
          <w:trHeight w:val="900"/>
          <w:jc w:val="center"/>
        </w:trPr>
        <w:tc>
          <w:tcPr>
            <w:tcW w:w="1007" w:type="pct"/>
            <w:vAlign w:val="center"/>
            <w:hideMark/>
          </w:tcPr>
          <w:p w14:paraId="13442325" w14:textId="77777777" w:rsidR="004F750D" w:rsidRPr="00BA5D80" w:rsidRDefault="004F750D" w:rsidP="00BA5D80">
            <w:pPr>
              <w:spacing w:after="0" w:line="240" w:lineRule="auto"/>
              <w:jc w:val="center"/>
              <w:rPr>
                <w:rFonts w:asciiTheme="majorHAnsi" w:eastAsia="Times New Roman" w:hAnsiTheme="majorHAnsi" w:cs="Times New Roman"/>
                <w:b/>
                <w:bCs/>
                <w:color w:val="000000"/>
                <w:kern w:val="0"/>
                <w:lang w:val="en-IN" w:eastAsia="en-IN"/>
                <w14:ligatures w14:val="none"/>
              </w:rPr>
            </w:pPr>
            <w:r w:rsidRPr="00BA5D80">
              <w:rPr>
                <w:rFonts w:asciiTheme="majorHAnsi" w:eastAsia="Times New Roman" w:hAnsiTheme="majorHAnsi" w:cs="Times New Roman"/>
                <w:b/>
                <w:bCs/>
                <w:color w:val="000000"/>
                <w:kern w:val="0"/>
                <w:lang w:val="en-IN" w:eastAsia="en-IN"/>
                <w14:ligatures w14:val="none"/>
              </w:rPr>
              <w:t>Fixed-Wing Drones</w:t>
            </w:r>
          </w:p>
        </w:tc>
        <w:tc>
          <w:tcPr>
            <w:tcW w:w="1248" w:type="pct"/>
            <w:vAlign w:val="center"/>
            <w:hideMark/>
          </w:tcPr>
          <w:p w14:paraId="3804EDC0" w14:textId="77777777" w:rsidR="004F750D" w:rsidRPr="00BA5D80" w:rsidRDefault="004F750D" w:rsidP="00BA5D80">
            <w:pPr>
              <w:spacing w:after="0" w:line="240" w:lineRule="auto"/>
              <w:jc w:val="center"/>
              <w:rPr>
                <w:rFonts w:asciiTheme="majorHAnsi" w:eastAsia="Times New Roman" w:hAnsiTheme="majorHAnsi" w:cs="Times New Roman"/>
                <w:color w:val="000000"/>
                <w:kern w:val="0"/>
                <w:lang w:val="en-IN" w:eastAsia="en-IN"/>
                <w14:ligatures w14:val="none"/>
              </w:rPr>
            </w:pPr>
            <w:r w:rsidRPr="00BA5D80">
              <w:rPr>
                <w:rFonts w:asciiTheme="majorHAnsi" w:eastAsia="Times New Roman" w:hAnsiTheme="majorHAnsi" w:cs="Times New Roman"/>
                <w:color w:val="000000"/>
                <w:kern w:val="0"/>
                <w:lang w:val="en-IN" w:eastAsia="en-IN"/>
                <w14:ligatures w14:val="none"/>
              </w:rPr>
              <w:t>Large-scale field mapping and surveying</w:t>
            </w:r>
          </w:p>
        </w:tc>
        <w:tc>
          <w:tcPr>
            <w:tcW w:w="1024" w:type="pct"/>
            <w:vAlign w:val="center"/>
            <w:hideMark/>
          </w:tcPr>
          <w:p w14:paraId="3021B824" w14:textId="77777777" w:rsidR="004F750D" w:rsidRPr="00BA5D80" w:rsidRDefault="004F750D" w:rsidP="00BA5D80">
            <w:pPr>
              <w:spacing w:after="0" w:line="240" w:lineRule="auto"/>
              <w:jc w:val="center"/>
              <w:rPr>
                <w:rFonts w:asciiTheme="majorHAnsi" w:eastAsia="Times New Roman" w:hAnsiTheme="majorHAnsi" w:cs="Times New Roman"/>
                <w:color w:val="000000"/>
                <w:kern w:val="0"/>
                <w:lang w:val="en-IN" w:eastAsia="en-IN"/>
                <w14:ligatures w14:val="none"/>
              </w:rPr>
            </w:pPr>
            <w:r w:rsidRPr="00BA5D80">
              <w:rPr>
                <w:rFonts w:asciiTheme="majorHAnsi" w:eastAsia="Times New Roman" w:hAnsiTheme="majorHAnsi" w:cs="Times New Roman"/>
                <w:color w:val="000000"/>
                <w:kern w:val="0"/>
                <w:lang w:val="en-IN" w:eastAsia="en-IN"/>
                <w14:ligatures w14:val="none"/>
              </w:rPr>
              <w:t>High (45–120 min)</w:t>
            </w:r>
          </w:p>
        </w:tc>
        <w:tc>
          <w:tcPr>
            <w:tcW w:w="867" w:type="pct"/>
            <w:vAlign w:val="center"/>
            <w:hideMark/>
          </w:tcPr>
          <w:p w14:paraId="18A20B4E" w14:textId="77777777" w:rsidR="004F750D" w:rsidRPr="00BA5D80" w:rsidRDefault="004F750D" w:rsidP="00BA5D80">
            <w:pPr>
              <w:spacing w:after="0" w:line="240" w:lineRule="auto"/>
              <w:jc w:val="center"/>
              <w:rPr>
                <w:rFonts w:asciiTheme="majorHAnsi" w:eastAsia="Times New Roman" w:hAnsiTheme="majorHAnsi" w:cs="Times New Roman"/>
                <w:color w:val="000000"/>
                <w:kern w:val="0"/>
                <w:lang w:val="en-IN" w:eastAsia="en-IN"/>
                <w14:ligatures w14:val="none"/>
              </w:rPr>
            </w:pPr>
            <w:r w:rsidRPr="00BA5D80">
              <w:rPr>
                <w:rFonts w:asciiTheme="majorHAnsi" w:eastAsia="Times New Roman" w:hAnsiTheme="majorHAnsi" w:cs="Times New Roman"/>
                <w:color w:val="000000"/>
                <w:kern w:val="0"/>
                <w:lang w:val="en-IN" w:eastAsia="en-IN"/>
                <w14:ligatures w14:val="none"/>
              </w:rPr>
              <w:t>High</w:t>
            </w:r>
          </w:p>
        </w:tc>
        <w:tc>
          <w:tcPr>
            <w:tcW w:w="854" w:type="pct"/>
            <w:vAlign w:val="center"/>
            <w:hideMark/>
          </w:tcPr>
          <w:p w14:paraId="1B987B17" w14:textId="77777777" w:rsidR="004F750D" w:rsidRPr="00BA5D80" w:rsidRDefault="004F750D" w:rsidP="00BA5D80">
            <w:pPr>
              <w:spacing w:after="0" w:line="240" w:lineRule="auto"/>
              <w:jc w:val="center"/>
              <w:rPr>
                <w:rFonts w:asciiTheme="majorHAnsi" w:eastAsia="Times New Roman" w:hAnsiTheme="majorHAnsi" w:cs="Times New Roman"/>
                <w:color w:val="000000"/>
                <w:kern w:val="0"/>
                <w:lang w:val="en-IN" w:eastAsia="en-IN"/>
                <w14:ligatures w14:val="none"/>
              </w:rPr>
            </w:pPr>
            <w:r w:rsidRPr="00BA5D80">
              <w:rPr>
                <w:rFonts w:asciiTheme="majorHAnsi" w:eastAsia="Times New Roman" w:hAnsiTheme="majorHAnsi" w:cs="Times New Roman"/>
                <w:color w:val="000000"/>
                <w:kern w:val="0"/>
                <w:lang w:val="en-IN" w:eastAsia="en-IN"/>
                <w14:ligatures w14:val="none"/>
              </w:rPr>
              <w:t>Low (1–5 kg)</w:t>
            </w:r>
          </w:p>
        </w:tc>
      </w:tr>
      <w:tr w:rsidR="004F750D" w:rsidRPr="00BA5D80" w14:paraId="1D97482A" w14:textId="77777777" w:rsidTr="004F750D">
        <w:trPr>
          <w:trHeight w:val="600"/>
          <w:jc w:val="center"/>
        </w:trPr>
        <w:tc>
          <w:tcPr>
            <w:tcW w:w="1007" w:type="pct"/>
            <w:vAlign w:val="center"/>
            <w:hideMark/>
          </w:tcPr>
          <w:p w14:paraId="4B5F2B5C" w14:textId="77777777" w:rsidR="004F750D" w:rsidRPr="00BA5D80" w:rsidRDefault="004F750D" w:rsidP="00BA5D80">
            <w:pPr>
              <w:spacing w:after="0" w:line="240" w:lineRule="auto"/>
              <w:jc w:val="center"/>
              <w:rPr>
                <w:rFonts w:asciiTheme="majorHAnsi" w:eastAsia="Times New Roman" w:hAnsiTheme="majorHAnsi" w:cs="Times New Roman"/>
                <w:b/>
                <w:bCs/>
                <w:color w:val="000000"/>
                <w:kern w:val="0"/>
                <w:lang w:val="en-IN" w:eastAsia="en-IN"/>
                <w14:ligatures w14:val="none"/>
              </w:rPr>
            </w:pPr>
            <w:r w:rsidRPr="00BA5D80">
              <w:rPr>
                <w:rFonts w:asciiTheme="majorHAnsi" w:eastAsia="Times New Roman" w:hAnsiTheme="majorHAnsi" w:cs="Times New Roman"/>
                <w:b/>
                <w:bCs/>
                <w:color w:val="000000"/>
                <w:kern w:val="0"/>
                <w:lang w:val="en-IN" w:eastAsia="en-IN"/>
                <w14:ligatures w14:val="none"/>
              </w:rPr>
              <w:t>VTOL Hybrid Drones</w:t>
            </w:r>
          </w:p>
        </w:tc>
        <w:tc>
          <w:tcPr>
            <w:tcW w:w="1248" w:type="pct"/>
            <w:vAlign w:val="center"/>
            <w:hideMark/>
          </w:tcPr>
          <w:p w14:paraId="1D0F3E11" w14:textId="77777777" w:rsidR="004F750D" w:rsidRPr="00BA5D80" w:rsidRDefault="004F750D" w:rsidP="00BA5D80">
            <w:pPr>
              <w:spacing w:after="0" w:line="240" w:lineRule="auto"/>
              <w:jc w:val="center"/>
              <w:rPr>
                <w:rFonts w:asciiTheme="majorHAnsi" w:eastAsia="Times New Roman" w:hAnsiTheme="majorHAnsi" w:cs="Times New Roman"/>
                <w:color w:val="000000"/>
                <w:kern w:val="0"/>
                <w:lang w:val="en-IN" w:eastAsia="en-IN"/>
                <w14:ligatures w14:val="none"/>
              </w:rPr>
            </w:pPr>
            <w:r w:rsidRPr="00BA5D80">
              <w:rPr>
                <w:rFonts w:asciiTheme="majorHAnsi" w:eastAsia="Times New Roman" w:hAnsiTheme="majorHAnsi" w:cs="Times New Roman"/>
                <w:color w:val="000000"/>
                <w:kern w:val="0"/>
                <w:lang w:val="en-IN" w:eastAsia="en-IN"/>
                <w14:ligatures w14:val="none"/>
              </w:rPr>
              <w:t xml:space="preserve">Surveying with vertical </w:t>
            </w:r>
            <w:proofErr w:type="spellStart"/>
            <w:r w:rsidRPr="00BA5D80">
              <w:rPr>
                <w:rFonts w:asciiTheme="majorHAnsi" w:eastAsia="Times New Roman" w:hAnsiTheme="majorHAnsi" w:cs="Times New Roman"/>
                <w:color w:val="000000"/>
                <w:kern w:val="0"/>
                <w:lang w:val="en-IN" w:eastAsia="en-IN"/>
                <w14:ligatures w14:val="none"/>
              </w:rPr>
              <w:t>takeoff</w:t>
            </w:r>
            <w:proofErr w:type="spellEnd"/>
          </w:p>
        </w:tc>
        <w:tc>
          <w:tcPr>
            <w:tcW w:w="1024" w:type="pct"/>
            <w:vAlign w:val="center"/>
            <w:hideMark/>
          </w:tcPr>
          <w:p w14:paraId="6CCCDD40" w14:textId="77777777" w:rsidR="004F750D" w:rsidRPr="00BA5D80" w:rsidRDefault="004F750D" w:rsidP="00BA5D80">
            <w:pPr>
              <w:spacing w:after="0" w:line="240" w:lineRule="auto"/>
              <w:jc w:val="center"/>
              <w:rPr>
                <w:rFonts w:asciiTheme="majorHAnsi" w:eastAsia="Times New Roman" w:hAnsiTheme="majorHAnsi" w:cs="Times New Roman"/>
                <w:color w:val="000000"/>
                <w:kern w:val="0"/>
                <w:lang w:val="en-IN" w:eastAsia="en-IN"/>
                <w14:ligatures w14:val="none"/>
              </w:rPr>
            </w:pPr>
            <w:r w:rsidRPr="00BA5D80">
              <w:rPr>
                <w:rFonts w:asciiTheme="majorHAnsi" w:eastAsia="Times New Roman" w:hAnsiTheme="majorHAnsi" w:cs="Times New Roman"/>
                <w:color w:val="000000"/>
                <w:kern w:val="0"/>
                <w:lang w:val="en-IN" w:eastAsia="en-IN"/>
                <w14:ligatures w14:val="none"/>
              </w:rPr>
              <w:t>Medium–High (40–90 min)</w:t>
            </w:r>
          </w:p>
        </w:tc>
        <w:tc>
          <w:tcPr>
            <w:tcW w:w="867" w:type="pct"/>
            <w:vAlign w:val="center"/>
            <w:hideMark/>
          </w:tcPr>
          <w:p w14:paraId="0A50E09B" w14:textId="77777777" w:rsidR="004F750D" w:rsidRPr="00BA5D80" w:rsidRDefault="004F750D" w:rsidP="00BA5D80">
            <w:pPr>
              <w:spacing w:after="0" w:line="240" w:lineRule="auto"/>
              <w:jc w:val="center"/>
              <w:rPr>
                <w:rFonts w:asciiTheme="majorHAnsi" w:eastAsia="Times New Roman" w:hAnsiTheme="majorHAnsi" w:cs="Times New Roman"/>
                <w:color w:val="000000"/>
                <w:kern w:val="0"/>
                <w:lang w:val="en-IN" w:eastAsia="en-IN"/>
                <w14:ligatures w14:val="none"/>
              </w:rPr>
            </w:pPr>
            <w:r w:rsidRPr="00BA5D80">
              <w:rPr>
                <w:rFonts w:asciiTheme="majorHAnsi" w:eastAsia="Times New Roman" w:hAnsiTheme="majorHAnsi" w:cs="Times New Roman"/>
                <w:color w:val="000000"/>
                <w:kern w:val="0"/>
                <w:lang w:val="en-IN" w:eastAsia="en-IN"/>
                <w14:ligatures w14:val="none"/>
              </w:rPr>
              <w:t>Medium–High</w:t>
            </w:r>
          </w:p>
        </w:tc>
        <w:tc>
          <w:tcPr>
            <w:tcW w:w="854" w:type="pct"/>
            <w:vAlign w:val="center"/>
            <w:hideMark/>
          </w:tcPr>
          <w:p w14:paraId="5BC553A1" w14:textId="77777777" w:rsidR="004F750D" w:rsidRPr="00BA5D80" w:rsidRDefault="004F750D" w:rsidP="00BA5D80">
            <w:pPr>
              <w:spacing w:after="0" w:line="240" w:lineRule="auto"/>
              <w:jc w:val="center"/>
              <w:rPr>
                <w:rFonts w:asciiTheme="majorHAnsi" w:eastAsia="Times New Roman" w:hAnsiTheme="majorHAnsi" w:cs="Times New Roman"/>
                <w:color w:val="000000"/>
                <w:kern w:val="0"/>
                <w:lang w:val="en-IN" w:eastAsia="en-IN"/>
                <w14:ligatures w14:val="none"/>
              </w:rPr>
            </w:pPr>
            <w:r w:rsidRPr="00BA5D80">
              <w:rPr>
                <w:rFonts w:asciiTheme="majorHAnsi" w:eastAsia="Times New Roman" w:hAnsiTheme="majorHAnsi" w:cs="Times New Roman"/>
                <w:color w:val="000000"/>
                <w:kern w:val="0"/>
                <w:lang w:val="en-IN" w:eastAsia="en-IN"/>
                <w14:ligatures w14:val="none"/>
              </w:rPr>
              <w:t>Medium (3–8 kg)</w:t>
            </w:r>
          </w:p>
        </w:tc>
      </w:tr>
      <w:tr w:rsidR="004F750D" w:rsidRPr="00BA5D80" w14:paraId="7FFFF4E6" w14:textId="77777777" w:rsidTr="004F750D">
        <w:trPr>
          <w:trHeight w:val="900"/>
          <w:jc w:val="center"/>
        </w:trPr>
        <w:tc>
          <w:tcPr>
            <w:tcW w:w="1007" w:type="pct"/>
            <w:vAlign w:val="center"/>
            <w:hideMark/>
          </w:tcPr>
          <w:p w14:paraId="4FB83857" w14:textId="77777777" w:rsidR="004F750D" w:rsidRPr="00BA5D80" w:rsidRDefault="004F750D" w:rsidP="00BA5D80">
            <w:pPr>
              <w:spacing w:after="0" w:line="240" w:lineRule="auto"/>
              <w:jc w:val="center"/>
              <w:rPr>
                <w:rFonts w:asciiTheme="majorHAnsi" w:eastAsia="Times New Roman" w:hAnsiTheme="majorHAnsi" w:cs="Times New Roman"/>
                <w:b/>
                <w:bCs/>
                <w:color w:val="000000"/>
                <w:kern w:val="0"/>
                <w:lang w:val="en-IN" w:eastAsia="en-IN"/>
                <w14:ligatures w14:val="none"/>
              </w:rPr>
            </w:pPr>
            <w:r w:rsidRPr="00BA5D80">
              <w:rPr>
                <w:rFonts w:asciiTheme="majorHAnsi" w:eastAsia="Times New Roman" w:hAnsiTheme="majorHAnsi" w:cs="Times New Roman"/>
                <w:b/>
                <w:bCs/>
                <w:color w:val="000000"/>
                <w:kern w:val="0"/>
                <w:lang w:val="en-IN" w:eastAsia="en-IN"/>
                <w14:ligatures w14:val="none"/>
              </w:rPr>
              <w:lastRenderedPageBreak/>
              <w:t>Spray Drones</w:t>
            </w:r>
          </w:p>
        </w:tc>
        <w:tc>
          <w:tcPr>
            <w:tcW w:w="1248" w:type="pct"/>
            <w:vAlign w:val="center"/>
            <w:hideMark/>
          </w:tcPr>
          <w:p w14:paraId="69564D93" w14:textId="77777777" w:rsidR="004F750D" w:rsidRPr="00BA5D80" w:rsidRDefault="004F750D" w:rsidP="00BA5D80">
            <w:pPr>
              <w:spacing w:after="0" w:line="240" w:lineRule="auto"/>
              <w:jc w:val="center"/>
              <w:rPr>
                <w:rFonts w:asciiTheme="majorHAnsi" w:eastAsia="Times New Roman" w:hAnsiTheme="majorHAnsi" w:cs="Times New Roman"/>
                <w:color w:val="000000"/>
                <w:kern w:val="0"/>
                <w:lang w:val="en-IN" w:eastAsia="en-IN"/>
                <w14:ligatures w14:val="none"/>
              </w:rPr>
            </w:pPr>
            <w:r w:rsidRPr="00BA5D80">
              <w:rPr>
                <w:rFonts w:asciiTheme="majorHAnsi" w:eastAsia="Times New Roman" w:hAnsiTheme="majorHAnsi" w:cs="Times New Roman"/>
                <w:color w:val="000000"/>
                <w:kern w:val="0"/>
                <w:lang w:val="en-IN" w:eastAsia="en-IN"/>
                <w14:ligatures w14:val="none"/>
              </w:rPr>
              <w:t>Pesticide and fertilizer application</w:t>
            </w:r>
          </w:p>
        </w:tc>
        <w:tc>
          <w:tcPr>
            <w:tcW w:w="1024" w:type="pct"/>
            <w:vAlign w:val="center"/>
            <w:hideMark/>
          </w:tcPr>
          <w:p w14:paraId="2EEAF6CA" w14:textId="77777777" w:rsidR="004F750D" w:rsidRPr="00BA5D80" w:rsidRDefault="004F750D" w:rsidP="00BA5D80">
            <w:pPr>
              <w:spacing w:after="0" w:line="240" w:lineRule="auto"/>
              <w:jc w:val="center"/>
              <w:rPr>
                <w:rFonts w:asciiTheme="majorHAnsi" w:eastAsia="Times New Roman" w:hAnsiTheme="majorHAnsi" w:cs="Times New Roman"/>
                <w:color w:val="000000"/>
                <w:kern w:val="0"/>
                <w:lang w:val="en-IN" w:eastAsia="en-IN"/>
                <w14:ligatures w14:val="none"/>
              </w:rPr>
            </w:pPr>
            <w:r w:rsidRPr="00BA5D80">
              <w:rPr>
                <w:rFonts w:asciiTheme="majorHAnsi" w:eastAsia="Times New Roman" w:hAnsiTheme="majorHAnsi" w:cs="Times New Roman"/>
                <w:color w:val="000000"/>
                <w:kern w:val="0"/>
                <w:lang w:val="en-IN" w:eastAsia="en-IN"/>
                <w14:ligatures w14:val="none"/>
              </w:rPr>
              <w:t>Low–Medium (20–50 min)</w:t>
            </w:r>
          </w:p>
        </w:tc>
        <w:tc>
          <w:tcPr>
            <w:tcW w:w="867" w:type="pct"/>
            <w:vAlign w:val="center"/>
            <w:hideMark/>
          </w:tcPr>
          <w:p w14:paraId="070A7CED" w14:textId="77777777" w:rsidR="004F750D" w:rsidRPr="00BA5D80" w:rsidRDefault="004F750D" w:rsidP="00BA5D80">
            <w:pPr>
              <w:spacing w:after="0" w:line="240" w:lineRule="auto"/>
              <w:jc w:val="center"/>
              <w:rPr>
                <w:rFonts w:asciiTheme="majorHAnsi" w:eastAsia="Times New Roman" w:hAnsiTheme="majorHAnsi" w:cs="Times New Roman"/>
                <w:color w:val="000000"/>
                <w:kern w:val="0"/>
                <w:lang w:val="en-IN" w:eastAsia="en-IN"/>
                <w14:ligatures w14:val="none"/>
              </w:rPr>
            </w:pPr>
            <w:r w:rsidRPr="00BA5D80">
              <w:rPr>
                <w:rFonts w:asciiTheme="majorHAnsi" w:eastAsia="Times New Roman" w:hAnsiTheme="majorHAnsi" w:cs="Times New Roman"/>
                <w:color w:val="000000"/>
                <w:kern w:val="0"/>
                <w:lang w:val="en-IN" w:eastAsia="en-IN"/>
                <w14:ligatures w14:val="none"/>
              </w:rPr>
              <w:t>Medium</w:t>
            </w:r>
          </w:p>
        </w:tc>
        <w:tc>
          <w:tcPr>
            <w:tcW w:w="854" w:type="pct"/>
            <w:vAlign w:val="center"/>
            <w:hideMark/>
          </w:tcPr>
          <w:p w14:paraId="386745E6" w14:textId="77777777" w:rsidR="004F750D" w:rsidRPr="00BA5D80" w:rsidRDefault="004F750D" w:rsidP="00BA5D80">
            <w:pPr>
              <w:spacing w:after="0" w:line="240" w:lineRule="auto"/>
              <w:jc w:val="center"/>
              <w:rPr>
                <w:rFonts w:asciiTheme="majorHAnsi" w:eastAsia="Times New Roman" w:hAnsiTheme="majorHAnsi" w:cs="Times New Roman"/>
                <w:color w:val="000000"/>
                <w:kern w:val="0"/>
                <w:lang w:val="en-IN" w:eastAsia="en-IN"/>
                <w14:ligatures w14:val="none"/>
              </w:rPr>
            </w:pPr>
            <w:r w:rsidRPr="00BA5D80">
              <w:rPr>
                <w:rFonts w:asciiTheme="majorHAnsi" w:eastAsia="Times New Roman" w:hAnsiTheme="majorHAnsi" w:cs="Times New Roman"/>
                <w:color w:val="000000"/>
                <w:kern w:val="0"/>
                <w:lang w:val="en-IN" w:eastAsia="en-IN"/>
                <w14:ligatures w14:val="none"/>
              </w:rPr>
              <w:t>High (10–30 kg)</w:t>
            </w:r>
          </w:p>
        </w:tc>
      </w:tr>
      <w:tr w:rsidR="004F750D" w:rsidRPr="00BA5D80" w14:paraId="67850AFC" w14:textId="77777777" w:rsidTr="004F750D">
        <w:trPr>
          <w:trHeight w:val="900"/>
          <w:jc w:val="center"/>
        </w:trPr>
        <w:tc>
          <w:tcPr>
            <w:tcW w:w="1007" w:type="pct"/>
            <w:vAlign w:val="center"/>
            <w:hideMark/>
          </w:tcPr>
          <w:p w14:paraId="19631BC2" w14:textId="77777777" w:rsidR="004F750D" w:rsidRPr="00BA5D80" w:rsidRDefault="004F750D" w:rsidP="00BA5D80">
            <w:pPr>
              <w:spacing w:after="0" w:line="240" w:lineRule="auto"/>
              <w:jc w:val="center"/>
              <w:rPr>
                <w:rFonts w:asciiTheme="majorHAnsi" w:eastAsia="Times New Roman" w:hAnsiTheme="majorHAnsi" w:cs="Times New Roman"/>
                <w:b/>
                <w:bCs/>
                <w:color w:val="000000"/>
                <w:kern w:val="0"/>
                <w:lang w:val="en-IN" w:eastAsia="en-IN"/>
                <w14:ligatures w14:val="none"/>
              </w:rPr>
            </w:pPr>
            <w:r w:rsidRPr="00BA5D80">
              <w:rPr>
                <w:rFonts w:asciiTheme="majorHAnsi" w:eastAsia="Times New Roman" w:hAnsiTheme="majorHAnsi" w:cs="Times New Roman"/>
                <w:b/>
                <w:bCs/>
                <w:color w:val="000000"/>
                <w:kern w:val="0"/>
                <w:lang w:val="en-IN" w:eastAsia="en-IN"/>
                <w14:ligatures w14:val="none"/>
              </w:rPr>
              <w:t>LiDAR-Enabled Drones</w:t>
            </w:r>
          </w:p>
        </w:tc>
        <w:tc>
          <w:tcPr>
            <w:tcW w:w="1248" w:type="pct"/>
            <w:vAlign w:val="center"/>
            <w:hideMark/>
          </w:tcPr>
          <w:p w14:paraId="0A2CB33A" w14:textId="77777777" w:rsidR="004F750D" w:rsidRPr="00BA5D80" w:rsidRDefault="004F750D" w:rsidP="00BA5D80">
            <w:pPr>
              <w:spacing w:after="0" w:line="240" w:lineRule="auto"/>
              <w:jc w:val="center"/>
              <w:rPr>
                <w:rFonts w:asciiTheme="majorHAnsi" w:eastAsia="Times New Roman" w:hAnsiTheme="majorHAnsi" w:cs="Times New Roman"/>
                <w:color w:val="000000"/>
                <w:kern w:val="0"/>
                <w:lang w:val="en-IN" w:eastAsia="en-IN"/>
                <w14:ligatures w14:val="none"/>
              </w:rPr>
            </w:pPr>
            <w:r w:rsidRPr="00BA5D80">
              <w:rPr>
                <w:rFonts w:asciiTheme="majorHAnsi" w:eastAsia="Times New Roman" w:hAnsiTheme="majorHAnsi" w:cs="Times New Roman"/>
                <w:color w:val="000000"/>
                <w:kern w:val="0"/>
                <w:lang w:val="en-IN" w:eastAsia="en-IN"/>
                <w14:ligatures w14:val="none"/>
              </w:rPr>
              <w:t>Terrain and crop structure mapping</w:t>
            </w:r>
          </w:p>
        </w:tc>
        <w:tc>
          <w:tcPr>
            <w:tcW w:w="1024" w:type="pct"/>
            <w:vAlign w:val="center"/>
            <w:hideMark/>
          </w:tcPr>
          <w:p w14:paraId="6FE47210" w14:textId="77777777" w:rsidR="004F750D" w:rsidRPr="00BA5D80" w:rsidRDefault="004F750D" w:rsidP="00BA5D80">
            <w:pPr>
              <w:spacing w:after="0" w:line="240" w:lineRule="auto"/>
              <w:jc w:val="center"/>
              <w:rPr>
                <w:rFonts w:asciiTheme="majorHAnsi" w:eastAsia="Times New Roman" w:hAnsiTheme="majorHAnsi" w:cs="Times New Roman"/>
                <w:color w:val="000000"/>
                <w:kern w:val="0"/>
                <w:lang w:val="en-IN" w:eastAsia="en-IN"/>
                <w14:ligatures w14:val="none"/>
              </w:rPr>
            </w:pPr>
            <w:r w:rsidRPr="00BA5D80">
              <w:rPr>
                <w:rFonts w:asciiTheme="majorHAnsi" w:eastAsia="Times New Roman" w:hAnsiTheme="majorHAnsi" w:cs="Times New Roman"/>
                <w:color w:val="000000"/>
                <w:kern w:val="0"/>
                <w:lang w:val="en-IN" w:eastAsia="en-IN"/>
                <w14:ligatures w14:val="none"/>
              </w:rPr>
              <w:t>Medium–High (40–100 min)</w:t>
            </w:r>
          </w:p>
        </w:tc>
        <w:tc>
          <w:tcPr>
            <w:tcW w:w="867" w:type="pct"/>
            <w:vAlign w:val="center"/>
            <w:hideMark/>
          </w:tcPr>
          <w:p w14:paraId="29F8C048" w14:textId="77777777" w:rsidR="004F750D" w:rsidRPr="00BA5D80" w:rsidRDefault="004F750D" w:rsidP="00BA5D80">
            <w:pPr>
              <w:spacing w:after="0" w:line="240" w:lineRule="auto"/>
              <w:jc w:val="center"/>
              <w:rPr>
                <w:rFonts w:asciiTheme="majorHAnsi" w:eastAsia="Times New Roman" w:hAnsiTheme="majorHAnsi" w:cs="Times New Roman"/>
                <w:color w:val="000000"/>
                <w:kern w:val="0"/>
                <w:lang w:val="en-IN" w:eastAsia="en-IN"/>
                <w14:ligatures w14:val="none"/>
              </w:rPr>
            </w:pPr>
            <w:r w:rsidRPr="00BA5D80">
              <w:rPr>
                <w:rFonts w:asciiTheme="majorHAnsi" w:eastAsia="Times New Roman" w:hAnsiTheme="majorHAnsi" w:cs="Times New Roman"/>
                <w:color w:val="000000"/>
                <w:kern w:val="0"/>
                <w:lang w:val="en-IN" w:eastAsia="en-IN"/>
                <w14:ligatures w14:val="none"/>
              </w:rPr>
              <w:t>Medium–High</w:t>
            </w:r>
          </w:p>
        </w:tc>
        <w:tc>
          <w:tcPr>
            <w:tcW w:w="854" w:type="pct"/>
            <w:vAlign w:val="center"/>
            <w:hideMark/>
          </w:tcPr>
          <w:p w14:paraId="46F5565C" w14:textId="77777777" w:rsidR="004F750D" w:rsidRPr="00BA5D80" w:rsidRDefault="004F750D" w:rsidP="00BA5D80">
            <w:pPr>
              <w:spacing w:after="0" w:line="240" w:lineRule="auto"/>
              <w:jc w:val="center"/>
              <w:rPr>
                <w:rFonts w:asciiTheme="majorHAnsi" w:eastAsia="Times New Roman" w:hAnsiTheme="majorHAnsi" w:cs="Times New Roman"/>
                <w:color w:val="000000"/>
                <w:kern w:val="0"/>
                <w:lang w:val="en-IN" w:eastAsia="en-IN"/>
                <w14:ligatures w14:val="none"/>
              </w:rPr>
            </w:pPr>
            <w:r w:rsidRPr="00BA5D80">
              <w:rPr>
                <w:rFonts w:asciiTheme="majorHAnsi" w:eastAsia="Times New Roman" w:hAnsiTheme="majorHAnsi" w:cs="Times New Roman"/>
                <w:color w:val="000000"/>
                <w:kern w:val="0"/>
                <w:lang w:val="en-IN" w:eastAsia="en-IN"/>
                <w14:ligatures w14:val="none"/>
              </w:rPr>
              <w:t>Low–Medium (2–6 kg)</w:t>
            </w:r>
          </w:p>
        </w:tc>
      </w:tr>
    </w:tbl>
    <w:p w14:paraId="47EB0F75" w14:textId="77777777" w:rsidR="00BA5D80" w:rsidRDefault="00BA5D80" w:rsidP="00BA5D80">
      <w:pPr>
        <w:spacing w:line="360" w:lineRule="auto"/>
        <w:rPr>
          <w:rFonts w:ascii="Cambria" w:hAnsi="Cambria"/>
          <w:sz w:val="24"/>
          <w:szCs w:val="24"/>
          <w:lang w:val="en-IN"/>
        </w:rPr>
      </w:pPr>
    </w:p>
    <w:sectPr w:rsidR="00BA5D80" w:rsidSect="00D81282">
      <w:footerReference w:type="default" r:id="rId8"/>
      <w:pgSz w:w="11907" w:h="16840" w:code="9"/>
      <w:pgMar w:top="567" w:right="567"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5DD5A" w14:textId="77777777" w:rsidR="00CA587A" w:rsidRDefault="00CA587A" w:rsidP="001417A3">
      <w:pPr>
        <w:spacing w:after="0" w:line="240" w:lineRule="auto"/>
      </w:pPr>
      <w:r>
        <w:separator/>
      </w:r>
    </w:p>
  </w:endnote>
  <w:endnote w:type="continuationSeparator" w:id="0">
    <w:p w14:paraId="74DA5042" w14:textId="77777777" w:rsidR="00CA587A" w:rsidRDefault="00CA587A" w:rsidP="00141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254777"/>
      <w:docPartObj>
        <w:docPartGallery w:val="Page Numbers (Bottom of Page)"/>
        <w:docPartUnique/>
      </w:docPartObj>
    </w:sdtPr>
    <w:sdtEndPr>
      <w:rPr>
        <w:noProof/>
      </w:rPr>
    </w:sdtEndPr>
    <w:sdtContent>
      <w:p w14:paraId="3C6F5B0D" w14:textId="7D81B935" w:rsidR="001417A3" w:rsidRDefault="001417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2692B5" w14:textId="77777777" w:rsidR="001417A3" w:rsidRDefault="001417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788AE" w14:textId="77777777" w:rsidR="00CA587A" w:rsidRDefault="00CA587A" w:rsidP="001417A3">
      <w:pPr>
        <w:spacing w:after="0" w:line="240" w:lineRule="auto"/>
      </w:pPr>
      <w:r>
        <w:separator/>
      </w:r>
    </w:p>
  </w:footnote>
  <w:footnote w:type="continuationSeparator" w:id="0">
    <w:p w14:paraId="6795FD65" w14:textId="77777777" w:rsidR="00CA587A" w:rsidRDefault="00CA587A" w:rsidP="001417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66A00"/>
    <w:multiLevelType w:val="multilevel"/>
    <w:tmpl w:val="C0AAF2B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120681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81282"/>
    <w:rsid w:val="00093500"/>
    <w:rsid w:val="000C5CDB"/>
    <w:rsid w:val="001417A3"/>
    <w:rsid w:val="00241D1D"/>
    <w:rsid w:val="00244451"/>
    <w:rsid w:val="0041351E"/>
    <w:rsid w:val="004A1358"/>
    <w:rsid w:val="004F750D"/>
    <w:rsid w:val="00517372"/>
    <w:rsid w:val="007C51D1"/>
    <w:rsid w:val="008B6660"/>
    <w:rsid w:val="008D1B27"/>
    <w:rsid w:val="00914C6D"/>
    <w:rsid w:val="00925442"/>
    <w:rsid w:val="00BA5D80"/>
    <w:rsid w:val="00BF23D8"/>
    <w:rsid w:val="00CA587A"/>
    <w:rsid w:val="00D45847"/>
    <w:rsid w:val="00D81282"/>
    <w:rsid w:val="00E54419"/>
    <w:rsid w:val="00F05037"/>
    <w:rsid w:val="00FB0739"/>
    <w:rsid w:val="00FB6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4CA07"/>
  <w15:chartTrackingRefBased/>
  <w15:docId w15:val="{EE7A304E-C855-4998-9B19-ED6630453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28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D8128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D8128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8128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8128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81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28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D8128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8128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8128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8128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81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282"/>
    <w:rPr>
      <w:rFonts w:eastAsiaTheme="majorEastAsia" w:cstheme="majorBidi"/>
      <w:color w:val="272727" w:themeColor="text1" w:themeTint="D8"/>
    </w:rPr>
  </w:style>
  <w:style w:type="paragraph" w:styleId="Title">
    <w:name w:val="Title"/>
    <w:basedOn w:val="Normal"/>
    <w:next w:val="Normal"/>
    <w:link w:val="TitleChar"/>
    <w:uiPriority w:val="10"/>
    <w:qFormat/>
    <w:rsid w:val="00D81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2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2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1282"/>
    <w:rPr>
      <w:i/>
      <w:iCs/>
      <w:color w:val="404040" w:themeColor="text1" w:themeTint="BF"/>
    </w:rPr>
  </w:style>
  <w:style w:type="paragraph" w:styleId="ListParagraph">
    <w:name w:val="List Paragraph"/>
    <w:basedOn w:val="Normal"/>
    <w:uiPriority w:val="34"/>
    <w:qFormat/>
    <w:rsid w:val="00D81282"/>
    <w:pPr>
      <w:ind w:left="720"/>
      <w:contextualSpacing/>
    </w:pPr>
  </w:style>
  <w:style w:type="character" w:styleId="IntenseEmphasis">
    <w:name w:val="Intense Emphasis"/>
    <w:basedOn w:val="DefaultParagraphFont"/>
    <w:uiPriority w:val="21"/>
    <w:qFormat/>
    <w:rsid w:val="00D81282"/>
    <w:rPr>
      <w:i/>
      <w:iCs/>
      <w:color w:val="365F91" w:themeColor="accent1" w:themeShade="BF"/>
    </w:rPr>
  </w:style>
  <w:style w:type="paragraph" w:styleId="IntenseQuote">
    <w:name w:val="Intense Quote"/>
    <w:basedOn w:val="Normal"/>
    <w:next w:val="Normal"/>
    <w:link w:val="IntenseQuoteChar"/>
    <w:uiPriority w:val="30"/>
    <w:qFormat/>
    <w:rsid w:val="00D8128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81282"/>
    <w:rPr>
      <w:i/>
      <w:iCs/>
      <w:color w:val="365F91" w:themeColor="accent1" w:themeShade="BF"/>
    </w:rPr>
  </w:style>
  <w:style w:type="character" w:styleId="IntenseReference">
    <w:name w:val="Intense Reference"/>
    <w:basedOn w:val="DefaultParagraphFont"/>
    <w:uiPriority w:val="32"/>
    <w:qFormat/>
    <w:rsid w:val="00D81282"/>
    <w:rPr>
      <w:b/>
      <w:bCs/>
      <w:smallCaps/>
      <w:color w:val="365F91" w:themeColor="accent1" w:themeShade="BF"/>
      <w:spacing w:val="5"/>
    </w:rPr>
  </w:style>
  <w:style w:type="paragraph" w:styleId="Header">
    <w:name w:val="header"/>
    <w:basedOn w:val="Normal"/>
    <w:link w:val="HeaderChar"/>
    <w:uiPriority w:val="99"/>
    <w:unhideWhenUsed/>
    <w:rsid w:val="001417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7A3"/>
  </w:style>
  <w:style w:type="paragraph" w:styleId="Footer">
    <w:name w:val="footer"/>
    <w:basedOn w:val="Normal"/>
    <w:link w:val="FooterChar"/>
    <w:uiPriority w:val="99"/>
    <w:unhideWhenUsed/>
    <w:rsid w:val="001417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7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555</Words>
  <Characters>3169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MAJUMDAR</dc:creator>
  <cp:keywords/>
  <dc:description/>
  <cp:lastModifiedBy>ABHISHEK MAJUMDAR</cp:lastModifiedBy>
  <cp:revision>23</cp:revision>
  <dcterms:created xsi:type="dcterms:W3CDTF">2026-01-03T07:12:00Z</dcterms:created>
  <dcterms:modified xsi:type="dcterms:W3CDTF">2026-01-03T08:47:00Z</dcterms:modified>
</cp:coreProperties>
</file>