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AFF18" w14:textId="77777777" w:rsidR="006A3CD5" w:rsidRDefault="006A3CD5" w:rsidP="006A3CD5">
      <w:pPr>
        <w:spacing w:line="360" w:lineRule="auto"/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r w:rsidRPr="00BA5D80">
        <w:rPr>
          <w:rFonts w:asciiTheme="majorHAnsi" w:hAnsiTheme="majorHAnsi" w:cs="Times New Roman"/>
          <w:b/>
          <w:bCs/>
          <w:sz w:val="28"/>
          <w:szCs w:val="28"/>
        </w:rPr>
        <w:t>References</w:t>
      </w:r>
    </w:p>
    <w:p w14:paraId="66185240" w14:textId="77777777" w:rsidR="006A3CD5" w:rsidRPr="006A3CD5" w:rsidRDefault="006A3CD5" w:rsidP="006A3CD5">
      <w:pPr>
        <w:spacing w:line="360" w:lineRule="auto"/>
        <w:jc w:val="both"/>
        <w:rPr>
          <w:rFonts w:asciiTheme="majorHAnsi" w:hAnsiTheme="majorHAnsi" w:cs="Times New Roman"/>
          <w:sz w:val="24"/>
          <w:szCs w:val="24"/>
          <w:lang w:val="en-IN"/>
        </w:rPr>
      </w:pPr>
      <w:r w:rsidRPr="006A3CD5">
        <w:rPr>
          <w:rFonts w:asciiTheme="majorHAnsi" w:hAnsiTheme="majorHAnsi" w:cs="Times New Roman"/>
          <w:sz w:val="24"/>
          <w:szCs w:val="24"/>
          <w:lang w:val="en-IN"/>
        </w:rPr>
        <w:t xml:space="preserve">[1] M. S. Memon, S. Kumar, and A. Ahmed, "Precision agriculture: A survey on role of unmanned aerial vehicles (UAVs) in crop monitoring," </w:t>
      </w:r>
      <w:r w:rsidRPr="006A3CD5">
        <w:rPr>
          <w:rFonts w:asciiTheme="majorHAnsi" w:hAnsiTheme="majorHAnsi" w:cs="Times New Roman"/>
          <w:i/>
          <w:iCs/>
          <w:sz w:val="24"/>
          <w:szCs w:val="24"/>
          <w:lang w:val="en-IN"/>
        </w:rPr>
        <w:t>IEEE Access</w:t>
      </w:r>
      <w:r w:rsidRPr="006A3CD5">
        <w:rPr>
          <w:rFonts w:asciiTheme="majorHAnsi" w:hAnsiTheme="majorHAnsi" w:cs="Times New Roman"/>
          <w:sz w:val="24"/>
          <w:szCs w:val="24"/>
          <w:lang w:val="en-IN"/>
        </w:rPr>
        <w:t>, vol. 10, pp. 12540–12558, 2022.</w:t>
      </w:r>
    </w:p>
    <w:p w14:paraId="4E18523E" w14:textId="77777777" w:rsidR="006A3CD5" w:rsidRPr="006A3CD5" w:rsidRDefault="006A3CD5" w:rsidP="006A3CD5">
      <w:pPr>
        <w:spacing w:line="360" w:lineRule="auto"/>
        <w:jc w:val="both"/>
        <w:rPr>
          <w:rFonts w:asciiTheme="majorHAnsi" w:hAnsiTheme="majorHAnsi" w:cs="Times New Roman"/>
          <w:sz w:val="24"/>
          <w:szCs w:val="24"/>
          <w:lang w:val="en-IN"/>
        </w:rPr>
      </w:pPr>
      <w:r w:rsidRPr="006A3CD5">
        <w:rPr>
          <w:rFonts w:asciiTheme="majorHAnsi" w:hAnsiTheme="majorHAnsi" w:cs="Times New Roman"/>
          <w:sz w:val="24"/>
          <w:szCs w:val="24"/>
          <w:lang w:val="en-IN"/>
        </w:rPr>
        <w:t xml:space="preserve">[2] J. Chen, "Broadband communication links for agricultural UAVs: 2.4 GHz vs. 5.8 GHz performance analysis," in </w:t>
      </w:r>
      <w:r w:rsidRPr="006A3CD5">
        <w:rPr>
          <w:rFonts w:asciiTheme="majorHAnsi" w:hAnsiTheme="majorHAnsi" w:cs="Times New Roman"/>
          <w:i/>
          <w:iCs/>
          <w:sz w:val="24"/>
          <w:szCs w:val="24"/>
          <w:lang w:val="en-IN"/>
        </w:rPr>
        <w:t>Proc. Int. Conf. Wireless Commun. (ICWC)</w:t>
      </w:r>
      <w:r w:rsidRPr="006A3CD5">
        <w:rPr>
          <w:rFonts w:asciiTheme="majorHAnsi" w:hAnsiTheme="majorHAnsi" w:cs="Times New Roman"/>
          <w:sz w:val="24"/>
          <w:szCs w:val="24"/>
          <w:lang w:val="en-IN"/>
        </w:rPr>
        <w:t>, 2023, pp. 45–51.</w:t>
      </w:r>
    </w:p>
    <w:p w14:paraId="16180212" w14:textId="77777777" w:rsidR="006A3CD5" w:rsidRPr="006A3CD5" w:rsidRDefault="006A3CD5" w:rsidP="006A3CD5">
      <w:pPr>
        <w:spacing w:line="360" w:lineRule="auto"/>
        <w:jc w:val="both"/>
        <w:rPr>
          <w:rFonts w:asciiTheme="majorHAnsi" w:hAnsiTheme="majorHAnsi" w:cs="Times New Roman"/>
          <w:sz w:val="24"/>
          <w:szCs w:val="24"/>
          <w:lang w:val="en-IN"/>
        </w:rPr>
      </w:pPr>
      <w:r w:rsidRPr="006A3CD5">
        <w:rPr>
          <w:rFonts w:asciiTheme="majorHAnsi" w:hAnsiTheme="majorHAnsi" w:cs="Times New Roman"/>
          <w:sz w:val="24"/>
          <w:szCs w:val="24"/>
          <w:lang w:val="en-IN"/>
        </w:rPr>
        <w:t xml:space="preserve">[3] R. Gupta and S. Verma, "Enabling BVLOS operations in smart farming via 5G network integration," </w:t>
      </w:r>
      <w:r w:rsidRPr="006A3CD5">
        <w:rPr>
          <w:rFonts w:asciiTheme="majorHAnsi" w:hAnsiTheme="majorHAnsi" w:cs="Times New Roman"/>
          <w:i/>
          <w:iCs/>
          <w:sz w:val="24"/>
          <w:szCs w:val="24"/>
          <w:lang w:val="en-IN"/>
        </w:rPr>
        <w:t>IEEE Internet Things Mag.</w:t>
      </w:r>
      <w:r w:rsidRPr="006A3CD5">
        <w:rPr>
          <w:rFonts w:asciiTheme="majorHAnsi" w:hAnsiTheme="majorHAnsi" w:cs="Times New Roman"/>
          <w:sz w:val="24"/>
          <w:szCs w:val="24"/>
          <w:lang w:val="en-IN"/>
        </w:rPr>
        <w:t>, vol. 5, no. 2, pp. 88–94, Jun. 2024.</w:t>
      </w:r>
    </w:p>
    <w:p w14:paraId="32143572" w14:textId="77777777" w:rsidR="006A3CD5" w:rsidRPr="006A3CD5" w:rsidRDefault="006A3CD5" w:rsidP="006A3CD5">
      <w:pPr>
        <w:spacing w:line="360" w:lineRule="auto"/>
        <w:jc w:val="both"/>
        <w:rPr>
          <w:rFonts w:asciiTheme="majorHAnsi" w:hAnsiTheme="majorHAnsi" w:cs="Times New Roman"/>
          <w:sz w:val="24"/>
          <w:szCs w:val="24"/>
          <w:lang w:val="en-IN"/>
        </w:rPr>
      </w:pPr>
      <w:r w:rsidRPr="006A3CD5">
        <w:rPr>
          <w:rFonts w:asciiTheme="majorHAnsi" w:hAnsiTheme="majorHAnsi" w:cs="Times New Roman"/>
          <w:sz w:val="24"/>
          <w:szCs w:val="24"/>
          <w:lang w:val="en-IN"/>
        </w:rPr>
        <w:t>[4] DJI Agriculture, "Agras T70P user manual: Payload optimization for large-scale spraying," DJI Tech. Rep. 2024-01, 2024.</w:t>
      </w:r>
    </w:p>
    <w:p w14:paraId="4C532623" w14:textId="77777777" w:rsidR="006A3CD5" w:rsidRPr="006A3CD5" w:rsidRDefault="006A3CD5" w:rsidP="006A3CD5">
      <w:pPr>
        <w:spacing w:line="360" w:lineRule="auto"/>
        <w:jc w:val="both"/>
        <w:rPr>
          <w:rFonts w:asciiTheme="majorHAnsi" w:hAnsiTheme="majorHAnsi" w:cs="Times New Roman"/>
          <w:sz w:val="24"/>
          <w:szCs w:val="24"/>
          <w:lang w:val="en-IN"/>
        </w:rPr>
      </w:pPr>
      <w:r w:rsidRPr="006A3CD5">
        <w:rPr>
          <w:rFonts w:asciiTheme="majorHAnsi" w:hAnsiTheme="majorHAnsi" w:cs="Times New Roman"/>
          <w:sz w:val="24"/>
          <w:szCs w:val="24"/>
          <w:lang w:val="en-IN"/>
        </w:rPr>
        <w:t xml:space="preserve">[5] L. Zhang, "Design and implementation of ground control stations for multi-drone agricultural coordination," </w:t>
      </w:r>
      <w:r w:rsidRPr="006A3CD5">
        <w:rPr>
          <w:rFonts w:asciiTheme="majorHAnsi" w:hAnsiTheme="majorHAnsi" w:cs="Times New Roman"/>
          <w:i/>
          <w:iCs/>
          <w:sz w:val="24"/>
          <w:szCs w:val="24"/>
          <w:lang w:val="en-IN"/>
        </w:rPr>
        <w:t>IEEE Trans. Autom. Sci. Eng.</w:t>
      </w:r>
      <w:r w:rsidRPr="006A3CD5">
        <w:rPr>
          <w:rFonts w:asciiTheme="majorHAnsi" w:hAnsiTheme="majorHAnsi" w:cs="Times New Roman"/>
          <w:sz w:val="24"/>
          <w:szCs w:val="24"/>
          <w:lang w:val="en-IN"/>
        </w:rPr>
        <w:t>, vol. 19, no. 4, pp. 3102–3115, Oct. 2022.</w:t>
      </w:r>
    </w:p>
    <w:p w14:paraId="2CEAF0BF" w14:textId="77777777" w:rsidR="006A3CD5" w:rsidRPr="006A3CD5" w:rsidRDefault="006A3CD5" w:rsidP="006A3CD5">
      <w:pPr>
        <w:spacing w:line="360" w:lineRule="auto"/>
        <w:jc w:val="both"/>
        <w:rPr>
          <w:rFonts w:asciiTheme="majorHAnsi" w:hAnsiTheme="majorHAnsi" w:cs="Times New Roman"/>
          <w:sz w:val="24"/>
          <w:szCs w:val="24"/>
          <w:lang w:val="en-IN"/>
        </w:rPr>
      </w:pPr>
      <w:r w:rsidRPr="006A3CD5">
        <w:rPr>
          <w:rFonts w:asciiTheme="majorHAnsi" w:hAnsiTheme="majorHAnsi" w:cs="Times New Roman"/>
          <w:sz w:val="24"/>
          <w:szCs w:val="24"/>
          <w:lang w:val="en-IN"/>
        </w:rPr>
        <w:t xml:space="preserve">[6] K. P. Rathore and B. Singh, "LiDAR and multispectral data fusion for crop height and health estimation," </w:t>
      </w:r>
      <w:r w:rsidRPr="006A3CD5">
        <w:rPr>
          <w:rFonts w:asciiTheme="majorHAnsi" w:hAnsiTheme="majorHAnsi" w:cs="Times New Roman"/>
          <w:i/>
          <w:iCs/>
          <w:sz w:val="24"/>
          <w:szCs w:val="24"/>
          <w:lang w:val="en-IN"/>
        </w:rPr>
        <w:t>IEEE J. Sel. Top. Appl. Earth Obs. Remote Sens.</w:t>
      </w:r>
      <w:r w:rsidRPr="006A3CD5">
        <w:rPr>
          <w:rFonts w:asciiTheme="majorHAnsi" w:hAnsiTheme="majorHAnsi" w:cs="Times New Roman"/>
          <w:sz w:val="24"/>
          <w:szCs w:val="24"/>
          <w:lang w:val="en-IN"/>
        </w:rPr>
        <w:t>, vol. 15, pp. 4421–4433, 2022.</w:t>
      </w:r>
    </w:p>
    <w:p w14:paraId="4C2295AB" w14:textId="77777777" w:rsidR="006A3CD5" w:rsidRPr="006A3CD5" w:rsidRDefault="006A3CD5" w:rsidP="006A3CD5">
      <w:pPr>
        <w:spacing w:line="360" w:lineRule="auto"/>
        <w:jc w:val="both"/>
        <w:rPr>
          <w:rFonts w:asciiTheme="majorHAnsi" w:hAnsiTheme="majorHAnsi" w:cs="Times New Roman"/>
          <w:sz w:val="24"/>
          <w:szCs w:val="24"/>
          <w:lang w:val="en-IN"/>
        </w:rPr>
      </w:pPr>
      <w:r w:rsidRPr="006A3CD5">
        <w:rPr>
          <w:rFonts w:asciiTheme="majorHAnsi" w:hAnsiTheme="majorHAnsi" w:cs="Times New Roman"/>
          <w:sz w:val="24"/>
          <w:szCs w:val="24"/>
          <w:lang w:val="en-IN"/>
        </w:rPr>
        <w:t xml:space="preserve">[7] H. Tan, "Automated route planning algorithms for compact drones in small-scale farming," </w:t>
      </w:r>
      <w:r w:rsidRPr="006A3CD5">
        <w:rPr>
          <w:rFonts w:asciiTheme="majorHAnsi" w:hAnsiTheme="majorHAnsi" w:cs="Times New Roman"/>
          <w:i/>
          <w:iCs/>
          <w:sz w:val="24"/>
          <w:szCs w:val="24"/>
          <w:lang w:val="en-IN"/>
        </w:rPr>
        <w:t>J. Intell. Rob. Syst.</w:t>
      </w:r>
      <w:r w:rsidRPr="006A3CD5">
        <w:rPr>
          <w:rFonts w:asciiTheme="majorHAnsi" w:hAnsiTheme="majorHAnsi" w:cs="Times New Roman"/>
          <w:sz w:val="24"/>
          <w:szCs w:val="24"/>
          <w:lang w:val="en-IN"/>
        </w:rPr>
        <w:t>, vol. 106, no. 12, Dec. 2023. [Online]. Available: IEEE Xplore.</w:t>
      </w:r>
    </w:p>
    <w:p w14:paraId="65D4A97F" w14:textId="77777777" w:rsidR="006A3CD5" w:rsidRPr="006A3CD5" w:rsidRDefault="006A3CD5" w:rsidP="006A3CD5">
      <w:pPr>
        <w:spacing w:line="360" w:lineRule="auto"/>
        <w:jc w:val="both"/>
        <w:rPr>
          <w:rFonts w:asciiTheme="majorHAnsi" w:hAnsiTheme="majorHAnsi" w:cs="Times New Roman"/>
          <w:sz w:val="24"/>
          <w:szCs w:val="24"/>
          <w:lang w:val="en-IN"/>
        </w:rPr>
      </w:pPr>
      <w:r w:rsidRPr="006A3CD5">
        <w:rPr>
          <w:rFonts w:asciiTheme="majorHAnsi" w:hAnsiTheme="majorHAnsi" w:cs="Times New Roman"/>
          <w:sz w:val="24"/>
          <w:szCs w:val="24"/>
          <w:lang w:val="en-IN"/>
        </w:rPr>
        <w:t xml:space="preserve">[8] F. Morales and G. Rossi, "Real-time thermal imaging for irrigation management using autonomous UAVs," </w:t>
      </w:r>
      <w:r w:rsidRPr="006A3CD5">
        <w:rPr>
          <w:rFonts w:asciiTheme="majorHAnsi" w:hAnsiTheme="majorHAnsi" w:cs="Times New Roman"/>
          <w:i/>
          <w:iCs/>
          <w:sz w:val="24"/>
          <w:szCs w:val="24"/>
          <w:lang w:val="en-IN"/>
        </w:rPr>
        <w:t xml:space="preserve">IEEE </w:t>
      </w:r>
      <w:proofErr w:type="spellStart"/>
      <w:r w:rsidRPr="006A3CD5">
        <w:rPr>
          <w:rFonts w:asciiTheme="majorHAnsi" w:hAnsiTheme="majorHAnsi" w:cs="Times New Roman"/>
          <w:i/>
          <w:iCs/>
          <w:sz w:val="24"/>
          <w:szCs w:val="24"/>
          <w:lang w:val="en-IN"/>
        </w:rPr>
        <w:t>Instrum</w:t>
      </w:r>
      <w:proofErr w:type="spellEnd"/>
      <w:r w:rsidRPr="006A3CD5">
        <w:rPr>
          <w:rFonts w:asciiTheme="majorHAnsi" w:hAnsiTheme="majorHAnsi" w:cs="Times New Roman"/>
          <w:i/>
          <w:iCs/>
          <w:sz w:val="24"/>
          <w:szCs w:val="24"/>
          <w:lang w:val="en-IN"/>
        </w:rPr>
        <w:t>. Meas. Mag.</w:t>
      </w:r>
      <w:r w:rsidRPr="006A3CD5">
        <w:rPr>
          <w:rFonts w:asciiTheme="majorHAnsi" w:hAnsiTheme="majorHAnsi" w:cs="Times New Roman"/>
          <w:sz w:val="24"/>
          <w:szCs w:val="24"/>
          <w:lang w:val="en-IN"/>
        </w:rPr>
        <w:t>, vol. 26, no. 3, pp. 14–22, May 2023.</w:t>
      </w:r>
    </w:p>
    <w:p w14:paraId="2A7747F4" w14:textId="77777777" w:rsidR="006A3CD5" w:rsidRPr="006A3CD5" w:rsidRDefault="006A3CD5" w:rsidP="006A3CD5">
      <w:pPr>
        <w:spacing w:line="360" w:lineRule="auto"/>
        <w:jc w:val="both"/>
        <w:rPr>
          <w:rFonts w:asciiTheme="majorHAnsi" w:hAnsiTheme="majorHAnsi" w:cs="Times New Roman"/>
          <w:sz w:val="24"/>
          <w:szCs w:val="24"/>
          <w:lang w:val="en-IN"/>
        </w:rPr>
      </w:pPr>
      <w:r w:rsidRPr="006A3CD5">
        <w:rPr>
          <w:rFonts w:asciiTheme="majorHAnsi" w:hAnsiTheme="majorHAnsi" w:cs="Times New Roman"/>
          <w:sz w:val="24"/>
          <w:szCs w:val="24"/>
          <w:lang w:val="en-IN"/>
        </w:rPr>
        <w:t xml:space="preserve">[9] S. Park, "Safety systems in agricultural drones: Obstacle detection and avoidance using binocular vision," in </w:t>
      </w:r>
      <w:r w:rsidRPr="006A3CD5">
        <w:rPr>
          <w:rFonts w:asciiTheme="majorHAnsi" w:hAnsiTheme="majorHAnsi" w:cs="Times New Roman"/>
          <w:i/>
          <w:iCs/>
          <w:sz w:val="24"/>
          <w:szCs w:val="24"/>
          <w:lang w:val="en-IN"/>
        </w:rPr>
        <w:t>Proc. IEEE Int. Conf. Rob. Autom. (ICRA)</w:t>
      </w:r>
      <w:r w:rsidRPr="006A3CD5">
        <w:rPr>
          <w:rFonts w:asciiTheme="majorHAnsi" w:hAnsiTheme="majorHAnsi" w:cs="Times New Roman"/>
          <w:sz w:val="24"/>
          <w:szCs w:val="24"/>
          <w:lang w:val="en-IN"/>
        </w:rPr>
        <w:t>, 2024, pp. 1120–1126.</w:t>
      </w:r>
    </w:p>
    <w:p w14:paraId="3D1014D0" w14:textId="77777777" w:rsidR="006A3CD5" w:rsidRPr="006A3CD5" w:rsidRDefault="006A3CD5" w:rsidP="006A3CD5">
      <w:pPr>
        <w:spacing w:line="360" w:lineRule="auto"/>
        <w:jc w:val="both"/>
        <w:rPr>
          <w:rFonts w:asciiTheme="majorHAnsi" w:hAnsiTheme="majorHAnsi" w:cs="Times New Roman"/>
          <w:sz w:val="24"/>
          <w:szCs w:val="24"/>
          <w:lang w:val="en-IN"/>
        </w:rPr>
      </w:pPr>
      <w:r w:rsidRPr="006A3CD5">
        <w:rPr>
          <w:rFonts w:asciiTheme="majorHAnsi" w:hAnsiTheme="majorHAnsi" w:cs="Times New Roman"/>
          <w:sz w:val="24"/>
          <w:szCs w:val="24"/>
          <w:lang w:val="en-IN"/>
        </w:rPr>
        <w:t xml:space="preserve">[10] T. Wang, "The role of 4G/5G edge computing in low-latency drone surveillance," </w:t>
      </w:r>
      <w:r w:rsidRPr="006A3CD5">
        <w:rPr>
          <w:rFonts w:asciiTheme="majorHAnsi" w:hAnsiTheme="majorHAnsi" w:cs="Times New Roman"/>
          <w:i/>
          <w:iCs/>
          <w:sz w:val="24"/>
          <w:szCs w:val="24"/>
          <w:lang w:val="en-IN"/>
        </w:rPr>
        <w:t>IEEE Commun. Standards Mag.</w:t>
      </w:r>
      <w:r w:rsidRPr="006A3CD5">
        <w:rPr>
          <w:rFonts w:asciiTheme="majorHAnsi" w:hAnsiTheme="majorHAnsi" w:cs="Times New Roman"/>
          <w:sz w:val="24"/>
          <w:szCs w:val="24"/>
          <w:lang w:val="en-IN"/>
        </w:rPr>
        <w:t>, vol. 7, no. 1, pp. 54–60, Mar. 2023.</w:t>
      </w:r>
    </w:p>
    <w:p w14:paraId="2CFB39BE" w14:textId="77777777" w:rsidR="006A3CD5" w:rsidRPr="006A3CD5" w:rsidRDefault="006A3CD5" w:rsidP="006A3CD5">
      <w:pPr>
        <w:spacing w:line="360" w:lineRule="auto"/>
        <w:jc w:val="both"/>
        <w:rPr>
          <w:rFonts w:asciiTheme="majorHAnsi" w:hAnsiTheme="majorHAnsi" w:cs="Times New Roman"/>
          <w:sz w:val="24"/>
          <w:szCs w:val="24"/>
          <w:lang w:val="en-IN"/>
        </w:rPr>
      </w:pPr>
      <w:r w:rsidRPr="006A3CD5">
        <w:rPr>
          <w:rFonts w:asciiTheme="majorHAnsi" w:hAnsiTheme="majorHAnsi" w:cs="Times New Roman"/>
          <w:sz w:val="24"/>
          <w:szCs w:val="24"/>
          <w:lang w:val="en-IN"/>
        </w:rPr>
        <w:t>[11] DJI Agriculture, "Agras T25P: Precision spraying for individual farm operators," Product White Paper, 2023.</w:t>
      </w:r>
    </w:p>
    <w:p w14:paraId="3CE3011F" w14:textId="77777777" w:rsidR="006A3CD5" w:rsidRPr="006A3CD5" w:rsidRDefault="006A3CD5" w:rsidP="006A3CD5">
      <w:pPr>
        <w:spacing w:line="360" w:lineRule="auto"/>
        <w:jc w:val="both"/>
        <w:rPr>
          <w:rFonts w:asciiTheme="majorHAnsi" w:hAnsiTheme="majorHAnsi" w:cs="Times New Roman"/>
          <w:sz w:val="24"/>
          <w:szCs w:val="24"/>
          <w:lang w:val="en-IN"/>
        </w:rPr>
      </w:pPr>
      <w:r w:rsidRPr="006A3CD5">
        <w:rPr>
          <w:rFonts w:asciiTheme="majorHAnsi" w:hAnsiTheme="majorHAnsi" w:cs="Times New Roman"/>
          <w:sz w:val="24"/>
          <w:szCs w:val="24"/>
          <w:lang w:val="en-IN"/>
        </w:rPr>
        <w:t xml:space="preserve">[12] A. Bernard, "Integration of weather telemetry into GCS mission planning for drone-based pesticide application," </w:t>
      </w:r>
      <w:r w:rsidRPr="006A3CD5">
        <w:rPr>
          <w:rFonts w:asciiTheme="majorHAnsi" w:hAnsiTheme="majorHAnsi" w:cs="Times New Roman"/>
          <w:i/>
          <w:iCs/>
          <w:sz w:val="24"/>
          <w:szCs w:val="24"/>
          <w:lang w:val="en-IN"/>
        </w:rPr>
        <w:t>IEEE Trans. Agri. Electron.</w:t>
      </w:r>
      <w:r w:rsidRPr="006A3CD5">
        <w:rPr>
          <w:rFonts w:asciiTheme="majorHAnsi" w:hAnsiTheme="majorHAnsi" w:cs="Times New Roman"/>
          <w:sz w:val="24"/>
          <w:szCs w:val="24"/>
          <w:lang w:val="en-IN"/>
        </w:rPr>
        <w:t>, vol. 8, no. 2, pp. 112–120, 2024.</w:t>
      </w:r>
    </w:p>
    <w:p w14:paraId="6BAEC698" w14:textId="77777777" w:rsidR="006A3CD5" w:rsidRPr="006A3CD5" w:rsidRDefault="006A3CD5" w:rsidP="006A3CD5">
      <w:pPr>
        <w:spacing w:line="360" w:lineRule="auto"/>
        <w:jc w:val="both"/>
        <w:rPr>
          <w:rFonts w:asciiTheme="majorHAnsi" w:hAnsiTheme="majorHAnsi" w:cs="Times New Roman"/>
          <w:sz w:val="24"/>
          <w:szCs w:val="24"/>
          <w:lang w:val="en-IN"/>
        </w:rPr>
      </w:pPr>
      <w:r w:rsidRPr="006A3CD5">
        <w:rPr>
          <w:rFonts w:asciiTheme="majorHAnsi" w:hAnsiTheme="majorHAnsi" w:cs="Times New Roman"/>
          <w:sz w:val="24"/>
          <w:szCs w:val="24"/>
          <w:lang w:val="en-IN"/>
        </w:rPr>
        <w:t xml:space="preserve">[13] Y. Liu and X. Zhao, "Terrain-following radar systems for consistent altitude maintenance in hilly plantations," </w:t>
      </w:r>
      <w:r w:rsidRPr="006A3CD5">
        <w:rPr>
          <w:rFonts w:asciiTheme="majorHAnsi" w:hAnsiTheme="majorHAnsi" w:cs="Times New Roman"/>
          <w:i/>
          <w:iCs/>
          <w:sz w:val="24"/>
          <w:szCs w:val="24"/>
          <w:lang w:val="en-IN"/>
        </w:rPr>
        <w:t>IEEE Sens. J.</w:t>
      </w:r>
      <w:r w:rsidRPr="006A3CD5">
        <w:rPr>
          <w:rFonts w:asciiTheme="majorHAnsi" w:hAnsiTheme="majorHAnsi" w:cs="Times New Roman"/>
          <w:sz w:val="24"/>
          <w:szCs w:val="24"/>
          <w:lang w:val="en-IN"/>
        </w:rPr>
        <w:t>, vol. 23, no. 5, pp. 5890–5901, Mar. 2023.</w:t>
      </w:r>
    </w:p>
    <w:p w14:paraId="6CC2D0EA" w14:textId="4027FC74" w:rsidR="00BF23D8" w:rsidRDefault="006A3CD5" w:rsidP="006A3CD5">
      <w:pPr>
        <w:spacing w:line="360" w:lineRule="auto"/>
        <w:jc w:val="both"/>
      </w:pPr>
      <w:r w:rsidRPr="006A3CD5">
        <w:rPr>
          <w:rFonts w:asciiTheme="majorHAnsi" w:hAnsiTheme="majorHAnsi" w:cs="Times New Roman"/>
          <w:sz w:val="24"/>
          <w:szCs w:val="24"/>
          <w:lang w:val="en-IN"/>
        </w:rPr>
        <w:t xml:space="preserve">[14] N. Kumar, "Cloud-based data processing architectures for large-scale aerial mapping," </w:t>
      </w:r>
      <w:r w:rsidRPr="006A3CD5">
        <w:rPr>
          <w:rFonts w:asciiTheme="majorHAnsi" w:hAnsiTheme="majorHAnsi" w:cs="Times New Roman"/>
          <w:i/>
          <w:iCs/>
          <w:sz w:val="24"/>
          <w:szCs w:val="24"/>
          <w:lang w:val="en-IN"/>
        </w:rPr>
        <w:t xml:space="preserve">IEEE Cloud </w:t>
      </w:r>
      <w:proofErr w:type="spellStart"/>
      <w:r w:rsidRPr="006A3CD5">
        <w:rPr>
          <w:rFonts w:asciiTheme="majorHAnsi" w:hAnsiTheme="majorHAnsi" w:cs="Times New Roman"/>
          <w:i/>
          <w:iCs/>
          <w:sz w:val="24"/>
          <w:szCs w:val="24"/>
          <w:lang w:val="en-IN"/>
        </w:rPr>
        <w:t>Comput</w:t>
      </w:r>
      <w:proofErr w:type="spellEnd"/>
      <w:r w:rsidRPr="006A3CD5">
        <w:rPr>
          <w:rFonts w:asciiTheme="majorHAnsi" w:hAnsiTheme="majorHAnsi" w:cs="Times New Roman"/>
          <w:i/>
          <w:iCs/>
          <w:sz w:val="24"/>
          <w:szCs w:val="24"/>
          <w:lang w:val="en-IN"/>
        </w:rPr>
        <w:t>.</w:t>
      </w:r>
      <w:r w:rsidRPr="006A3CD5">
        <w:rPr>
          <w:rFonts w:asciiTheme="majorHAnsi" w:hAnsiTheme="majorHAnsi" w:cs="Times New Roman"/>
          <w:sz w:val="24"/>
          <w:szCs w:val="24"/>
          <w:lang w:val="en-IN"/>
        </w:rPr>
        <w:t>, vol. 10, no. 4, pp. 22–31, Jul. 2023.</w:t>
      </w:r>
    </w:p>
    <w:sectPr w:rsidR="00BF23D8" w:rsidSect="006A3CD5">
      <w:footerReference w:type="default" r:id="rId4"/>
      <w:pgSz w:w="11907" w:h="16840" w:code="9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02547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690167" w14:textId="77777777" w:rsidR="006A3CD5" w:rsidRDefault="006A3CD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67A368" w14:textId="77777777" w:rsidR="006A3CD5" w:rsidRDefault="006A3CD5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3CD5"/>
    <w:rsid w:val="004A1358"/>
    <w:rsid w:val="006A3CD5"/>
    <w:rsid w:val="008B6660"/>
    <w:rsid w:val="00914C6D"/>
    <w:rsid w:val="00BF23D8"/>
    <w:rsid w:val="00D45847"/>
    <w:rsid w:val="00E54419"/>
    <w:rsid w:val="00FB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64943"/>
  <w15:chartTrackingRefBased/>
  <w15:docId w15:val="{28298A5D-4077-448F-BC74-4EF2518AC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CD5"/>
  </w:style>
  <w:style w:type="paragraph" w:styleId="Heading1">
    <w:name w:val="heading 1"/>
    <w:basedOn w:val="Normal"/>
    <w:next w:val="Normal"/>
    <w:link w:val="Heading1Char"/>
    <w:uiPriority w:val="9"/>
    <w:qFormat/>
    <w:rsid w:val="006A3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CD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CD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CD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C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CD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CD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CD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C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C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CD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CD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CD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CD5"/>
    <w:rPr>
      <w:b/>
      <w:bCs/>
      <w:smallCaps/>
      <w:color w:val="365F9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A3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C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MAJUMDAR</dc:creator>
  <cp:keywords/>
  <dc:description/>
  <cp:lastModifiedBy>ABHISHEK MAJUMDAR</cp:lastModifiedBy>
  <cp:revision>1</cp:revision>
  <dcterms:created xsi:type="dcterms:W3CDTF">2026-01-03T08:43:00Z</dcterms:created>
  <dcterms:modified xsi:type="dcterms:W3CDTF">2026-01-03T08:49:00Z</dcterms:modified>
</cp:coreProperties>
</file>