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onsolas" w:hAnsi="Consolas"/>
          <w:b/>
          <w:color w:val="2F5D50"/>
          <w:sz w:val="18"/>
        </w:rPr>
        <w:t>PANEL AMCHAM · SUMMACHAM</w:t>
      </w:r>
    </w:p>
    <w:p>
      <w:pPr>
        <w:spacing w:after="40"/>
      </w:pPr>
      <w:r>
        <w:rPr>
          <w:b/>
          <w:color w:val="171B18"/>
          <w:sz w:val="52"/>
        </w:rPr>
        <w:t>Cotización de mejoras</w:t>
      </w:r>
    </w:p>
    <w:p>
      <w:pPr>
        <w:spacing w:after="320"/>
      </w:pPr>
      <w:r>
        <w:rPr>
          <w:color w:val="6A746C"/>
          <w:sz w:val="19"/>
        </w:rPr>
        <w:t>28 de agosto de 2026  ·  Precios en pesos mexicanos (MXN)</w:t>
      </w:r>
    </w:p>
    <w:p>
      <w:pPr>
        <w:spacing w:after="280"/>
        <w:pBdr>
          <w:bottom w:val="single" w:sz="6" w:color="DBDDD3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257"/>
        <w:gridCol w:w="1644"/>
      </w:tblGrid>
      <w:tr>
        <w:tc>
          <w:tcPr>
            <w:tcW w:type="dxa" w:w="7257"/>
            <w:shd w:val="clear" w:color="auto" w:fill="EDEEE8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b/>
                <w:color w:val="6A746C"/>
                <w:sz w:val="17"/>
              </w:rPr>
              <w:t>CONCEPTO</w:t>
            </w:r>
          </w:p>
        </w:tc>
        <w:tc>
          <w:tcPr>
            <w:tcW w:type="dxa" w:w="1644"/>
            <w:shd w:val="clear" w:color="auto" w:fill="EDEEE8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right"/>
            </w:pPr>
            <w:r/>
            <w:r>
              <w:rPr>
                <w:rFonts w:ascii="Consolas" w:hAnsi="Consolas"/>
                <w:b/>
                <w:color w:val="6A746C"/>
                <w:sz w:val="17"/>
              </w:rPr>
              <w:t>PRECIO</w:t>
            </w:r>
          </w:p>
        </w:tc>
      </w:tr>
      <w:tr>
        <w:tc>
          <w:tcPr>
            <w:tcW w:type="dxa" w:w="7257"/>
            <w:tcBorders>
              <w:bottom w:val="single" w:sz="6" w:color="DBDDD3"/>
            </w:tcBorders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pPr>
              <w:spacing w:after="40"/>
            </w:pPr>
            <w:r/>
            <w:r>
              <w:rPr>
                <w:b/>
                <w:color w:val="2F5D50"/>
                <w:sz w:val="21"/>
              </w:rPr>
              <w:t xml:space="preserve">1.  </w:t>
            </w:r>
            <w:r>
              <w:rPr>
                <w:b/>
                <w:color w:val="171B18"/>
                <w:sz w:val="21"/>
              </w:rPr>
              <w:t>Fórmulas en tiempo real desde el Centro de Borradores</w:t>
            </w:r>
          </w:p>
          <w:p>
            <w:pPr>
              <w:spacing w:after="0"/>
            </w:pPr>
            <w:r>
              <w:rPr>
                <w:color w:val="6A746C"/>
                <w:sz w:val="18"/>
              </w:rPr>
              <w:t>Al visualizar un borrador en cualquier estado, las celdas con fórmula se recalculan mostrando cómo quedarían con los cambios propuestos aplicados.</w:t>
            </w:r>
          </w:p>
        </w:tc>
        <w:tc>
          <w:tcPr>
            <w:tcW w:type="dxa" w:w="1644"/>
            <w:vAlign w:val="center"/>
            <w:tcBorders>
              <w:bottom w:val="single" w:sz="6" w:color="DBDDD3"/>
            </w:tcBorders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pPr>
              <w:jc w:val="right"/>
            </w:pPr>
            <w:r/>
            <w:r>
              <w:rPr>
                <w:rFonts w:ascii="Consolas" w:hAnsi="Consolas"/>
                <w:b/>
                <w:color w:val="2F5D50"/>
                <w:sz w:val="26"/>
              </w:rPr>
              <w:t>$500</w:t>
            </w:r>
          </w:p>
        </w:tc>
      </w:tr>
      <w:tr>
        <w:tc>
          <w:tcPr>
            <w:tcW w:type="dxa" w:w="7257"/>
            <w:tcBorders>
              <w:bottom w:val="single" w:sz="6" w:color="DBDDD3"/>
            </w:tcBorders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pPr>
              <w:spacing w:after="40"/>
            </w:pPr>
            <w:r/>
            <w:r>
              <w:rPr>
                <w:b/>
                <w:color w:val="2F5D50"/>
                <w:sz w:val="21"/>
              </w:rPr>
              <w:t xml:space="preserve">2.  </w:t>
            </w:r>
            <w:r>
              <w:rPr>
                <w:b/>
                <w:color w:val="171B18"/>
                <w:sz w:val="21"/>
              </w:rPr>
              <w:t>Retirar el botón de "Comparar" en la pestaña de Resumen</w:t>
            </w:r>
          </w:p>
          <w:p>
            <w:pPr>
              <w:spacing w:after="0"/>
            </w:pPr>
            <w:r>
              <w:rPr>
                <w:color w:val="6A746C"/>
                <w:sz w:val="18"/>
              </w:rPr>
              <w:t>Se elimina de forma definitiva el comparativo entre empresas dentro del módulo de Resumen de Presupuestos.</w:t>
            </w:r>
          </w:p>
        </w:tc>
        <w:tc>
          <w:tcPr>
            <w:tcW w:type="dxa" w:w="1644"/>
            <w:vAlign w:val="center"/>
            <w:tcBorders>
              <w:bottom w:val="single" w:sz="6" w:color="DBDDD3"/>
            </w:tcBorders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pPr>
              <w:jc w:val="right"/>
            </w:pPr>
            <w:r/>
            <w:r>
              <w:rPr>
                <w:rFonts w:ascii="Consolas" w:hAnsi="Consolas"/>
                <w:b/>
                <w:color w:val="2F5D50"/>
                <w:sz w:val="26"/>
              </w:rPr>
              <w:t>$100</w:t>
            </w:r>
          </w:p>
        </w:tc>
      </w:tr>
      <w:tr>
        <w:tc>
          <w:tcPr>
            <w:tcW w:type="dxa" w:w="7257"/>
            <w:tcBorders>
              <w:bottom w:val="single" w:sz="6" w:color="DBDDD3"/>
            </w:tcBorders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pPr>
              <w:spacing w:after="40"/>
            </w:pPr>
            <w:r/>
            <w:r>
              <w:rPr>
                <w:b/>
                <w:color w:val="2F5D50"/>
                <w:sz w:val="21"/>
              </w:rPr>
              <w:t xml:space="preserve">3.  </w:t>
            </w:r>
            <w:r>
              <w:rPr>
                <w:b/>
                <w:color w:val="171B18"/>
                <w:sz w:val="21"/>
              </w:rPr>
              <w:t>Copiar presupuesto de un año a otro</w:t>
            </w:r>
          </w:p>
          <w:p>
            <w:pPr>
              <w:spacing w:after="0"/>
            </w:pPr>
            <w:r>
              <w:rPr>
                <w:color w:val="6A746C"/>
                <w:sz w:val="18"/>
              </w:rPr>
              <w:t>Nueva opción para duplicar las cifras de presupuesto de un ejercicio a otro, con vista previa, confirmación y reversión automática si algo falla.</w:t>
            </w:r>
          </w:p>
        </w:tc>
        <w:tc>
          <w:tcPr>
            <w:tcW w:type="dxa" w:w="1644"/>
            <w:vAlign w:val="center"/>
            <w:tcBorders>
              <w:bottom w:val="single" w:sz="6" w:color="DBDDD3"/>
            </w:tcBorders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pPr>
              <w:jc w:val="right"/>
            </w:pPr>
            <w:r/>
            <w:r>
              <w:rPr>
                <w:rFonts w:ascii="Consolas" w:hAnsi="Consolas"/>
                <w:b/>
                <w:color w:val="2F5D50"/>
                <w:sz w:val="26"/>
              </w:rPr>
              <w:t>$4,000</w:t>
            </w:r>
          </w:p>
        </w:tc>
      </w:tr>
      <w:tr>
        <w:tc>
          <w:tcPr>
            <w:tcW w:type="dxa" w:w="7257"/>
            <w:shd w:val="clear" w:color="auto" w:fill="F3F4EF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b/>
                <w:color w:val="171B18"/>
                <w:sz w:val="22"/>
              </w:rPr>
              <w:t>TOTAL</w:t>
            </w:r>
          </w:p>
        </w:tc>
        <w:tc>
          <w:tcPr>
            <w:tcW w:type="dxa" w:w="1644"/>
            <w:shd w:val="clear" w:color="auto" w:fill="F3F4EF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onsolas" w:hAnsi="Consolas"/>
                <w:b/>
                <w:color w:val="2F5D50"/>
                <w:sz w:val="30"/>
              </w:rPr>
              <w:t>$4,600 MXN</w:t>
            </w:r>
          </w:p>
        </w:tc>
      </w:tr>
    </w:tbl>
    <w:p>
      <w:pPr>
        <w:spacing w:after="120"/>
      </w:pPr>
    </w:p>
    <w:p>
      <w:pPr>
        <w:spacing w:before="360"/>
      </w:pPr>
      <w:r>
        <w:rPr>
          <w:i/>
          <w:color w:val="6A746C"/>
          <w:sz w:val="17"/>
        </w:rPr>
        <w:t>Precios antes de IVA. Cotización válida por 30 días a partir de la fecha indicada. No incluye los cambios adicionales listados en el roadmap general — se cotizan por separado conforme se aprueben.</w:t>
      </w:r>
    </w:p>
    <w:sectPr w:rsidR="00FC693F" w:rsidRPr="0006063C" w:rsidSect="00034616">
      <w:pgSz w:w="12240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71B1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