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suppressLineNumbers w:val="false"/>
        <w:pBdr>
          <w:top w:val="nil" w:color="000000" w:sz="4" w:space="0"/>
          <w:left w:val="nil" w:color="000000" w:sz="4" w:space="0"/>
          <w:bottom w:val="single" w:color="ff0000" w:sz="24" w:space="0"/>
          <w:right w:val="nil" w:color="000000" w:sz="4" w:space="0"/>
          <w:between w:val="nil" w:color="000000" w:sz="4" w:space="0"/>
        </w:pBdr>
        <w:spacing/>
        <w:ind w:right="0" w:firstLine="0" w:left="-142"/>
        <w:contextualSpacing w:val="false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  <w:highlight w:val="none"/>
          <w:lang w:val="es-MX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-505019</wp:posOffset>
                </wp:positionH>
                <wp:positionV relativeFrom="paragraph">
                  <wp:posOffset>-409921</wp:posOffset>
                </wp:positionV>
                <wp:extent cx="1438081" cy="1438081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0168378" name=""/>
                        <pic:cNvPicPr/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1438080" cy="1438080"/>
                        </a:xfrm>
                        <a:prstGeom prst="ellipse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text;margin-left:-39.77pt;mso-position-horizontal:absolute;mso-position-vertical-relative:text;margin-top:-32.28pt;mso-position-vertical:absolute;width:113.23pt;height:113.23pt;mso-wrap-distance-left:9.07pt;mso-wrap-distance-top:0.00pt;mso-wrap-distance-right:9.07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b/>
          <w:bCs/>
          <w:color w:val="000000" w:themeColor="text1"/>
          <w:highlight w:val="none"/>
          <w:lang w:val="es-MX"/>
        </w:rPr>
      </w:r>
      <w:r/>
      <w:r>
        <w:rPr>
          <w:b/>
          <w:bCs/>
          <w:color w:val="000000" w:themeColor="text1"/>
          <w:highlight w:val="none"/>
          <w:lang w:val="es-MX"/>
        </w:rPr>
      </w:r>
      <w:r>
        <w:rPr>
          <w:b/>
          <w:bCs/>
          <w:color w:val="000000" w:themeColor="text1"/>
          <w:highlight w:val="none"/>
          <w:lang w:val="es-MX"/>
        </w:rPr>
      </w:r>
    </w:p>
    <w:p>
      <w:pPr>
        <w:pStyle w:val="138"/>
        <w:suppressLineNumbers w:val="false"/>
        <w:pBdr>
          <w:top w:val="nil" w:color="000000" w:sz="4" w:space="0"/>
          <w:left w:val="nil" w:color="000000" w:sz="4" w:space="0"/>
          <w:bottom w:val="single" w:color="ff0000" w:sz="24" w:space="0"/>
          <w:right w:val="nil" w:color="000000" w:sz="4" w:space="0"/>
          <w:between w:val="nil" w:color="000000" w:sz="4" w:space="0"/>
        </w:pBdr>
        <w:spacing/>
        <w:ind w:right="0" w:firstLine="0" w:left="-142"/>
        <w:contextualSpacing w:val="false"/>
        <w:jc w:val="center"/>
        <w:rPr>
          <w:b/>
          <w:bCs/>
          <w:color w:val="000000" w:themeColor="text1"/>
          <w:highlight w:val="none"/>
          <w:lang w:val="es-MX"/>
        </w:rPr>
      </w:pPr>
      <w:r>
        <w:rPr>
          <w:b/>
          <w:bCs/>
          <w:color w:val="000000" w:themeColor="text1"/>
          <w:lang w:val="es-MX"/>
        </w:rPr>
      </w:r>
      <w:r/>
      <w:r>
        <w:rPr>
          <w:b/>
          <w:bCs/>
          <w:color w:val="000000" w:themeColor="text1"/>
          <w:lang w:val="es-MX"/>
        </w:rPr>
        <w:t xml:space="preserve">Formato de </w:t>
      </w:r>
      <w:r>
        <w:rPr>
          <w:b/>
          <w:bCs/>
          <w:color w:val="000000" w:themeColor="text1"/>
          <w:lang w:val="es-MX"/>
        </w:rPr>
        <w:t xml:space="preserve">transferencia AVAG</w:t>
      </w:r>
      <w:r>
        <w:rPr>
          <w:b/>
          <w:bCs/>
          <w:color w:val="000000" w:themeColor="text1"/>
        </w:rPr>
      </w:r>
    </w:p>
    <w:p>
      <w:pPr>
        <w:pBdr/>
        <w:spacing/>
        <w:ind/>
        <w:rPr>
          <w:highlight w:val="none"/>
          <w:lang w:val="es-MX"/>
        </w:rPr>
      </w:pPr>
      <w:r>
        <w:rPr>
          <w:lang w:val="es-MX"/>
        </w:rPr>
        <w:t xml:space="preserve">Realice el pago de su mensualidad por medio de transferencia bancaria con los siguientes datos:</w:t>
      </w:r>
      <w:r/>
    </w:p>
    <w:tbl>
      <w:tblPr>
        <w:tblStyle w:val="39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401"/>
        <w:gridCol w:w="992"/>
        <w:gridCol w:w="2623"/>
        <w:gridCol w:w="2339"/>
      </w:tblGrid>
      <w:tr>
        <w:trPr/>
        <w:tc>
          <w:tcPr>
            <w:tcBorders/>
            <w:tcW w:w="3401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  <w:lang w:val="es-MX"/>
              </w:rPr>
            </w:pPr>
            <w:r>
              <w:rPr>
                <w:highlight w:val="none"/>
                <w:lang w:val="es-MX"/>
              </w:rPr>
              <w:t xml:space="preserve">Titular</w:t>
            </w:r>
            <w:r>
              <w:rPr>
                <w:highlight w:val="none"/>
                <w:lang w:val="es-MX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  <w:lang w:val="es-MX"/>
              </w:rPr>
            </w:pPr>
            <w:r>
              <w:rPr>
                <w:highlight w:val="none"/>
                <w:lang w:val="es-MX"/>
              </w:rPr>
              <w:t xml:space="preserve">Banco</w:t>
            </w:r>
            <w:r>
              <w:rPr>
                <w:highlight w:val="none"/>
                <w:lang w:val="es-MX"/>
              </w:rPr>
            </w:r>
          </w:p>
        </w:tc>
        <w:tc>
          <w:tcPr>
            <w:tcBorders/>
            <w:tcW w:w="2623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  <w:lang w:val="es-MX"/>
              </w:rPr>
            </w:pPr>
            <w:r>
              <w:rPr>
                <w:highlight w:val="none"/>
                <w:lang w:val="es-MX"/>
              </w:rPr>
              <w:t xml:space="preserve">Cuenta</w:t>
            </w:r>
            <w:r>
              <w:rPr>
                <w:highlight w:val="none"/>
                <w:lang w:val="es-MX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  <w:lang w:val="es-MX"/>
              </w:rPr>
            </w:pPr>
            <w:r>
              <w:rPr>
                <w:highlight w:val="none"/>
                <w:lang w:val="es-MX"/>
              </w:rPr>
              <w:t xml:space="preserve">Monto</w:t>
            </w:r>
            <w:r>
              <w:rPr>
                <w:highlight w:val="none"/>
                <w:lang w:val="es-MX"/>
              </w:rPr>
            </w:r>
          </w:p>
        </w:tc>
      </w:tr>
      <w:tr>
        <w:trPr/>
        <w:tc>
          <w:tcPr>
            <w:tcBorders/>
            <w:tcW w:w="3401" w:type="dxa"/>
            <w:textDirection w:val="lrTb"/>
            <w:noWrap w:val="false"/>
          </w:tcPr>
          <w:p>
            <w:pPr>
              <w:pBdr/>
              <w:spacing/>
              <w:ind/>
              <w:rPr>
                <w:color w:val="ff0000"/>
                <w:highlight w:val="none"/>
              </w:rPr>
            </w:pPr>
            <w:r>
              <w:rPr>
                <w:color w:val="ff0000"/>
                <w:highlight w:val="none"/>
                <w:lang w:val="es-MX"/>
              </w:rPr>
              <w:t xml:space="preserve">Oscar Adolfo Avila Aguirre</w:t>
            </w:r>
            <w:r>
              <w:rPr>
                <w:color w:val="ff0000"/>
                <w:highlight w:val="none"/>
                <w:lang w:val="es-MX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Bdr/>
              <w:spacing/>
              <w:ind/>
              <w:rPr>
                <w:color w:val="ff0000"/>
                <w:highlight w:val="none"/>
              </w:rPr>
            </w:pPr>
            <w:r>
              <w:rPr>
                <w:color w:val="ff0000"/>
                <w:highlight w:val="none"/>
                <w:lang w:val="es-MX"/>
              </w:rPr>
              <w:t xml:space="preserve">BBVA</w:t>
            </w:r>
            <w:r>
              <w:rPr>
                <w:color w:val="ff0000"/>
                <w:highlight w:val="none"/>
                <w:lang w:val="es-MX"/>
              </w:rPr>
            </w:r>
          </w:p>
        </w:tc>
        <w:tc>
          <w:tcPr>
            <w:tcBorders/>
            <w:tcW w:w="2623" w:type="dxa"/>
            <w:textDirection w:val="lrTb"/>
            <w:noWrap w:val="false"/>
          </w:tcPr>
          <w:p>
            <w:pPr>
              <w:pBdr/>
              <w:spacing/>
              <w:ind/>
              <w:rPr>
                <w:color w:val="ff0000"/>
                <w:highlight w:val="none"/>
              </w:rPr>
            </w:pPr>
            <w:r>
              <w:rPr>
                <w:color w:val="ff0000"/>
                <w:highlight w:val="none"/>
                <w:lang w:val="es-MX"/>
              </w:rPr>
              <w:t xml:space="preserve">012 225 01136750141 5</w:t>
            </w:r>
            <w:r>
              <w:rPr>
                <w:color w:val="ff0000"/>
                <w:highlight w:val="none"/>
                <w:lang w:val="es-MX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r>
              <w:t>$450.00</w:t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yellow"/>
          <w:lang w:val="es-MX"/>
        </w:rPr>
        <w:t xml:space="preserve">Nota:</w:t>
      </w:r>
      <w:r>
        <w:rPr>
          <w:highlight w:val="none"/>
          <w:lang w:val="es-MX"/>
        </w:rPr>
        <w:t xml:space="preserve"> el pago de su mensualidad no sera efectivo hasta que no acuda a la institucion con el comprobante o lo mande al administrador para que se de de alta manualmente.</w:t>
      </w:r>
      <w:r>
        <w:rPr>
          <w:highlight w:val="none"/>
          <w:lang w:val="es-MX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2025-05-22T00:45:25Z</dcterms:modified>
</cp:coreProperties>
</file>