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33.png" ContentType="image/png"/>
  <Override PartName="/word/media/rId40.png" ContentType="image/png"/>
  <Override PartName="/word/media/rId3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№28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Необходимо рассмотреть модели простейших боевых действий, так называемые модели Ланчестера.</w:t>
      </w:r>
      <w:r>
        <w:t xml:space="preserve"> </w:t>
      </w:r>
      <w:r>
        <w:t xml:space="preserve">В моделях будут рассматриваться два случая битв, сражение регулярных войск, сражение регулярных и партизанских войск.</w:t>
      </w:r>
      <w:r>
        <w:t xml:space="preserve"> </w:t>
      </w:r>
      <w:r>
        <w:t xml:space="preserve">Если численность армии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-lab-taskmathmo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  <w:r>
        <w:t xml:space="preserve"> 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Выявить два случая модели Ланчестера, разобрать их теоретическое выведение</w:t>
      </w:r>
    </w:p>
    <w:p>
      <w:pPr>
        <w:numPr>
          <w:ilvl w:val="0"/>
          <w:numId w:val="1001"/>
        </w:numPr>
        <w:pStyle w:val="Compact"/>
      </w:pPr>
      <w:r>
        <w:t xml:space="preserve">Вывести уравнения для постоения моделей Ланчестера для двух случаев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войск, используя текст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X39249a15c064d0b80389b8b7cecda5b011b73c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Рассмотри два случая ведения боевых действий с учетом различных типов войск: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с участием регулярных войск и партизанских отрядов</w:t>
      </w:r>
    </w:p>
    <w:p>
      <w:pPr>
        <w:pStyle w:val="FirstParagraph"/>
      </w:pPr>
      <w:r>
        <w:t xml:space="preserve">В первом случае ( сражение между регулярными войсками) численность войск определяется тремя факторами:</w:t>
      </w:r>
    </w:p>
    <w:p>
      <w:pPr>
        <w:numPr>
          <w:ilvl w:val="0"/>
          <w:numId w:val="1003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bookmarkEnd w:id="22"/>
    <w:bookmarkStart w:id="23" w:name="X12847a44a7efc4a2e027b38c7485270bb06c3d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боевых действий между регулярными войсками описывается как: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3"/>
    <w:bookmarkStart w:id="24" w:name="теоретические-сведе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сведения:</w:t>
      </w:r>
    </w:p>
    <w:p>
      <w:pPr>
        <w:pStyle w:val="FirstParagraph"/>
      </w:pPr>
      <w:r>
        <w:t xml:space="preserve">Потери, которые не связанны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  <w:r>
        <w:t xml:space="preserve"> </w:t>
      </w:r>
      <w:r>
        <w:t xml:space="preserve">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bookmarkEnd w:id="24"/>
    <w:bookmarkStart w:id="25" w:name="X169dcfa224b9bfdddc44a0bb7b30e03e2ec113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боевых действий между регулярными войсками и партизанскими отрядами описывается как: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5"/>
    <w:bookmarkStart w:id="26" w:name="модель-простейший-боевых-действий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Модель простейший боевых действий:</w:t>
      </w:r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</w:t>
      </w:r>
      <w:r>
        <w:t xml:space="preserve"> </w:t>
      </w:r>
      <w:r>
        <w:t xml:space="preserve">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6"/>
    <w:bookmarkStart w:id="27" w:name="X40bcd250621b5aa31881be44cf6241d5af99dce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Это - жесткая модель, которая допускает точное решение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уравнениями в тексте лабораторной работы. По какой именно гиперболе пойдет война, зависит от начальной точки.</w:t>
      </w:r>
    </w:p>
    <w:bookmarkEnd w:id="27"/>
    <w:bookmarkStart w:id="28" w:name="вывод-из-модели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Вывод из модели:</w:t>
      </w:r>
    </w:p>
    <w:p>
      <w:pPr>
        <w:pStyle w:val="FirstParagraph"/>
      </w:pPr>
      <w:r>
        <w:t xml:space="preserve">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bookmarkEnd w:id="28"/>
    <w:bookmarkStart w:id="29" w:name="рассмотрим-первый-случай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Рассмотрим первый случай:</w:t>
      </w:r>
    </w:p>
    <w:p>
      <w:pPr>
        <w:pStyle w:val="FirstParagraph"/>
      </w:pPr>
      <w:r>
        <w:t xml:space="preserve">Война между регулярными войсками.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9"/>
    <w:bookmarkStart w:id="30" w:name="рассмотрим-второй-случай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Рассмотрим второй случай:</w:t>
      </w:r>
    </w:p>
    <w:p>
      <w:pPr>
        <w:pStyle w:val="FirstParagraph"/>
      </w:pPr>
      <w:r>
        <w:t xml:space="preserve">Война между регулярными войсками и партизанскими отрядами.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 нас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которое, при заданных начальных условиях, имеет одно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bookmarkEnd w:id="30"/>
    <w:bookmarkStart w:id="32" w:name="задача.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Задача.</w:t>
      </w:r>
    </w:p>
    <w:bookmarkStart w:id="31" w:name="условие"/>
    <w:p>
      <w:pPr>
        <w:pStyle w:val="Heading3"/>
      </w:pPr>
      <w:r>
        <w:rPr>
          <w:rStyle w:val="SectionNumber"/>
        </w:rPr>
        <w:t xml:space="preserve">3.10.1</w:t>
      </w:r>
      <w:r>
        <w:tab/>
      </w:r>
      <w:r>
        <w:t xml:space="preserve">Условие: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32 888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17 777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bookmarkEnd w:id="31"/>
    <w:bookmarkEnd w:id="32"/>
    <w:bookmarkStart w:id="39" w:name="X61e8eababa49b5a663bf4d3de13c494f5338386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Случай 1. 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1.5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1.2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для случая 1 на julia" title="fig:" id="34" name="Picture"/>
            <a:graphic>
              <a:graphicData uri="http://schemas.openxmlformats.org/drawingml/2006/picture">
                <pic:pic>
                  <pic:nvPicPr>
                    <pic:cNvPr descr="image/lab03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1 на julia</w:t>
      </w:r>
    </w:p>
    <w:p>
      <w:pPr>
        <w:pStyle w:val="CaptionedFigure"/>
      </w:pPr>
      <w:r>
        <w:drawing>
          <wp:inline>
            <wp:extent cx="3733800" cy="3045644"/>
            <wp:effectExtent b="0" l="0" r="0" t="0"/>
            <wp:docPr descr="График численности для случая 1 на OpenModelica" title="fig:" id="37" name="Picture"/>
            <a:graphic>
              <a:graphicData uri="http://schemas.openxmlformats.org/drawingml/2006/picture">
                <pic:pic>
                  <pic:nvPicPr>
                    <pic:cNvPr descr="image/laba03_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1 на OpenModelica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9"/>
    <w:bookmarkStart w:id="46" w:name="Xf927420a41be3360a31a468de7c17f31de0b219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Случай 2. 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20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для случая 2 на julia" title="fig:" id="41" name="Picture"/>
            <a:graphic>
              <a:graphicData uri="http://schemas.openxmlformats.org/drawingml/2006/picture">
                <pic:pic>
                  <pic:nvPicPr>
                    <pic:cNvPr descr="image/lab03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2 на julia</w:t>
      </w:r>
    </w:p>
    <w:p>
      <w:pPr>
        <w:pStyle w:val="CaptionedFigure"/>
      </w:pPr>
      <w:r>
        <w:drawing>
          <wp:inline>
            <wp:extent cx="3733800" cy="3045644"/>
            <wp:effectExtent b="0" l="0" r="0" t="0"/>
            <wp:docPr descr="График численности для случая 2 на OpenModelica" title="fig:" id="44" name="Picture"/>
            <a:graphic>
              <a:graphicData uri="http://schemas.openxmlformats.org/drawingml/2006/picture">
                <pic:pic>
                  <pic:nvPicPr>
                    <pic:cNvPr descr="image/laba03_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2 на OpenModelica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6"/>
    <w:bookmarkStart w:id="47" w:name="код-программы-diff-eq-docjulia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Код программы</w:t>
      </w:r>
      <w:r>
        <w:t xml:space="preserve"> </w:t>
      </w:r>
      <w:r>
        <w:t xml:space="preserve">[3]</w:t>
      </w:r>
    </w:p>
    <w:p>
      <w:pPr>
        <w:pStyle w:val="SourceCode"/>
      </w:pPr>
      <w:r>
        <w:rPr>
          <w:rStyle w:val="VerbatimChar"/>
        </w:rPr>
        <w:t xml:space="preserve"># Вариант 28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32888</w:t>
      </w:r>
      <w:r>
        <w:br/>
      </w:r>
      <w:r>
        <w:rPr>
          <w:rStyle w:val="VerbatimChar"/>
        </w:rPr>
        <w:t xml:space="preserve">y0 = 17777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ode_fn_1(du,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- 0.55*u[1] - 0.77*u[2] + 1.5 * sin(3t + 1) # изменение численности первой армии</w:t>
      </w:r>
      <w:r>
        <w:br/>
      </w:r>
      <w:r>
        <w:rPr>
          <w:rStyle w:val="VerbatimChar"/>
        </w:rPr>
        <w:t xml:space="preserve">    du[2] = - 0.66*u[1] - 0.44*u[2] + 1.2 * cos(t + 1) # изменение численности второй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ode_fn_2(du,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- 0.27*u[1] - 0.88*u[2] + sin(20t) # изменение численности первой армии</w:t>
      </w:r>
      <w:r>
        <w:br/>
      </w:r>
      <w:r>
        <w:rPr>
          <w:rStyle w:val="VerbatimChar"/>
        </w:rPr>
        <w:t xml:space="preserve">    du[2] = - 0.68*u[1]*u[2] - 0.37*u[2] + cos(10t) + 1 # изменение численности второй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1.0)</w:t>
      </w:r>
      <w:r>
        <w:br/>
      </w:r>
      <w:r>
        <w:rPr>
          <w:rStyle w:val="VerbatimChar"/>
        </w:rPr>
        <w:t xml:space="preserve">prob = ODEProblem(ode_fn_1, v0, tspan)</w:t>
      </w:r>
      <w:r>
        <w:br/>
      </w:r>
      <w:r>
        <w:rPr>
          <w:rStyle w:val="VerbatimChar"/>
        </w:rPr>
        <w:t xml:space="preserve">sol = solve(prob, dtmax=0.1)</w:t>
      </w:r>
      <w:r>
        <w:br/>
      </w:r>
      <w:r>
        <w:br/>
      </w:r>
      <w:r>
        <w:rPr>
          <w:rStyle w:val="VerbatimChar"/>
        </w:rPr>
        <w:t xml:space="preserve">X1 = [u[1] for u in sol.u]</w:t>
      </w:r>
      <w:r>
        <w:br/>
      </w:r>
      <w:r>
        <w:rPr>
          <w:rStyle w:val="VerbatimChar"/>
        </w:rPr>
        <w:t xml:space="preserve">Y1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dpi=300,</w:t>
      </w:r>
      <w:r>
        <w:br/>
      </w:r>
      <w:r>
        <w:rPr>
          <w:rStyle w:val="VerbatimChar"/>
        </w:rPr>
        <w:t xml:space="preserve">title="Модель боевых действий",</w:t>
      </w:r>
      <w:r>
        <w:br/>
      </w:r>
      <w:r>
        <w:rPr>
          <w:rStyle w:val="VerbatimChar"/>
        </w:rPr>
        <w:t xml:space="preserve">legend=true)</w:t>
      </w:r>
      <w:r>
        <w:br/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plt,</w:t>
      </w:r>
      <w:r>
        <w:br/>
      </w:r>
      <w:r>
        <w:rPr>
          <w:rStyle w:val="VerbatimChar"/>
        </w:rPr>
        <w:t xml:space="preserve">T,</w:t>
      </w:r>
      <w:r>
        <w:br/>
      </w:r>
      <w:r>
        <w:rPr>
          <w:rStyle w:val="VerbatimChar"/>
        </w:rPr>
        <w:t xml:space="preserve">X1,</w:t>
      </w:r>
      <w:r>
        <w:br/>
      </w:r>
      <w:r>
        <w:rPr>
          <w:rStyle w:val="VerbatimChar"/>
        </w:rPr>
        <w:t xml:space="preserve">label="Численность армии x",</w:t>
      </w:r>
      <w:r>
        <w:br/>
      </w:r>
      <w:r>
        <w:rPr>
          <w:rStyle w:val="VerbatimChar"/>
        </w:rPr>
        <w:t xml:space="preserve">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plt,</w:t>
      </w:r>
      <w:r>
        <w:br/>
      </w:r>
      <w:r>
        <w:rPr>
          <w:rStyle w:val="VerbatimChar"/>
        </w:rPr>
        <w:t xml:space="preserve">T,</w:t>
      </w:r>
      <w:r>
        <w:br/>
      </w:r>
      <w:r>
        <w:rPr>
          <w:rStyle w:val="VerbatimChar"/>
        </w:rPr>
        <w:t xml:space="preserve">Y1,</w:t>
      </w:r>
      <w:r>
        <w:br/>
      </w:r>
      <w:r>
        <w:rPr>
          <w:rStyle w:val="VerbatimChar"/>
        </w:rPr>
        <w:t xml:space="preserve">label="Численность армии y",</w:t>
      </w:r>
      <w:r>
        <w:br/>
      </w:r>
      <w:r>
        <w:rPr>
          <w:rStyle w:val="VerbatimChar"/>
        </w:rPr>
        <w:t xml:space="preserve">color=:red)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1.0)</w:t>
      </w:r>
      <w:r>
        <w:br/>
      </w:r>
      <w:r>
        <w:rPr>
          <w:rStyle w:val="VerbatimChar"/>
        </w:rPr>
        <w:t xml:space="preserve">prob = ODEProblem(ode_fn_2, v0, tspan)</w:t>
      </w:r>
      <w:r>
        <w:br/>
      </w:r>
      <w:r>
        <w:rPr>
          <w:rStyle w:val="VerbatimChar"/>
        </w:rPr>
        <w:t xml:space="preserve">sol = solve(prob, dt=0.1)</w:t>
      </w:r>
      <w:r>
        <w:br/>
      </w:r>
      <w:r>
        <w:br/>
      </w:r>
      <w:r>
        <w:rPr>
          <w:rStyle w:val="VerbatimChar"/>
        </w:rPr>
        <w:t xml:space="preserve">X2 = [u[1] for u in sol.u]</w:t>
      </w:r>
      <w:r>
        <w:br/>
      </w:r>
      <w:r>
        <w:rPr>
          <w:rStyle w:val="VerbatimChar"/>
        </w:rPr>
        <w:t xml:space="preserve">Y2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dpi=300,</w:t>
      </w:r>
      <w:r>
        <w:br/>
      </w:r>
      <w:r>
        <w:rPr>
          <w:rStyle w:val="VerbatimChar"/>
        </w:rPr>
        <w:t xml:space="preserve">title="Модель боевых действий",</w:t>
      </w:r>
      <w:r>
        <w:br/>
      </w:r>
      <w:r>
        <w:rPr>
          <w:rStyle w:val="VerbatimChar"/>
        </w:rPr>
        <w:t xml:space="preserve">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plt2,</w:t>
      </w:r>
      <w:r>
        <w:br/>
      </w:r>
      <w:r>
        <w:rPr>
          <w:rStyle w:val="VerbatimChar"/>
        </w:rPr>
        <w:t xml:space="preserve">T,</w:t>
      </w:r>
      <w:r>
        <w:br/>
      </w:r>
      <w:r>
        <w:rPr>
          <w:rStyle w:val="VerbatimChar"/>
        </w:rPr>
        <w:t xml:space="preserve">X2,</w:t>
      </w:r>
      <w:r>
        <w:br/>
      </w:r>
      <w:r>
        <w:rPr>
          <w:rStyle w:val="VerbatimChar"/>
        </w:rPr>
        <w:t xml:space="preserve">label="Численность армии x",</w:t>
      </w:r>
      <w:r>
        <w:br/>
      </w:r>
      <w:r>
        <w:rPr>
          <w:rStyle w:val="VerbatimChar"/>
        </w:rPr>
        <w:t xml:space="preserve">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plt2,</w:t>
      </w:r>
      <w:r>
        <w:br/>
      </w:r>
      <w:r>
        <w:rPr>
          <w:rStyle w:val="VerbatimChar"/>
        </w:rPr>
        <w:t xml:space="preserve">T,</w:t>
      </w:r>
      <w:r>
        <w:br/>
      </w:r>
      <w:r>
        <w:rPr>
          <w:rStyle w:val="VerbatimChar"/>
        </w:rPr>
        <w:t xml:space="preserve">Y2,</w:t>
      </w:r>
      <w:r>
        <w:br/>
      </w:r>
      <w:r>
        <w:rPr>
          <w:rStyle w:val="VerbatimChar"/>
        </w:rPr>
        <w:t xml:space="preserve">label="Численность армии y",</w:t>
      </w:r>
      <w:r>
        <w:br/>
      </w:r>
      <w:r>
        <w:rPr>
          <w:rStyle w:val="VerbatimChar"/>
        </w:rPr>
        <w:t xml:space="preserve">color=:red)</w:t>
      </w:r>
      <w:r>
        <w:br/>
      </w:r>
      <w:r>
        <w:br/>
      </w:r>
      <w:r>
        <w:rPr>
          <w:rStyle w:val="VerbatimChar"/>
        </w:rPr>
        <w:t xml:space="preserve">savefig(plt, "lab03_1.png")</w:t>
      </w:r>
      <w:r>
        <w:br/>
      </w:r>
      <w:r>
        <w:rPr>
          <w:rStyle w:val="VerbatimChar"/>
        </w:rPr>
        <w:t xml:space="preserve">savefig(plt2, "lab03_2.png")</w:t>
      </w:r>
    </w:p>
    <w:bookmarkEnd w:id="47"/>
    <w:bookmarkStart w:id="54" w:name="код-программы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3039677"/>
            <wp:effectExtent b="0" l="0" r="0" t="0"/>
            <wp:docPr descr="Код программы для первого случая на OpenModelica" title="fig:" id="49" name="Picture"/>
            <a:graphic>
              <a:graphicData uri="http://schemas.openxmlformats.org/drawingml/2006/picture">
                <pic:pic>
                  <pic:nvPicPr>
                    <pic:cNvPr descr="./image/laba03_3код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первого случая на OpenModelica</w:t>
      </w:r>
    </w:p>
    <w:p>
      <w:pPr>
        <w:pStyle w:val="CaptionedFigure"/>
      </w:pPr>
      <w:r>
        <w:drawing>
          <wp:inline>
            <wp:extent cx="3733800" cy="3033893"/>
            <wp:effectExtent b="0" l="0" r="0" t="0"/>
            <wp:docPr descr="Код программы для второго случаяна на OpenModelica" title="fig:" id="52" name="Picture"/>
            <a:graphic>
              <a:graphicData uri="http://schemas.openxmlformats.org/drawingml/2006/picture">
                <pic:pic>
                  <pic:nvPicPr>
                    <pic:cNvPr descr="./image/laba03_4код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второго случаяна на OpenModelica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рассмотрены модели простейших боевых действий, так называемые модели Ланчестера.</w:t>
      </w:r>
    </w:p>
    <w:p>
      <w:pPr>
        <w:pStyle w:val="BodyText"/>
      </w:pPr>
      <w:r>
        <w:t xml:space="preserve">В моделях были рассмотрены два случая битв:</w:t>
      </w:r>
    </w:p>
    <w:p>
      <w:pPr>
        <w:numPr>
          <w:ilvl w:val="0"/>
          <w:numId w:val="1004"/>
        </w:numPr>
        <w:pStyle w:val="Compact"/>
      </w:pPr>
      <w:r>
        <w:t xml:space="preserve">Сражение регулярных войск.</w:t>
      </w:r>
    </w:p>
    <w:p>
      <w:pPr>
        <w:numPr>
          <w:ilvl w:val="0"/>
          <w:numId w:val="1004"/>
        </w:numPr>
        <w:pStyle w:val="Compact"/>
      </w:pPr>
      <w:r>
        <w:t xml:space="preserve">Сражение регулярных и партизанских войск.</w:t>
      </w:r>
    </w:p>
    <w:p>
      <w:pPr>
        <w:pStyle w:val="FirstParagraph"/>
      </w:pPr>
      <w:r>
        <w:t xml:space="preserve">Проверена работа моделей в этих случаях, построены графики и сделаны выводы о том, кто станет победителем в данных случаях.</w:t>
      </w:r>
    </w:p>
    <w:bookmarkEnd w:id="56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8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№3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7">
        <w:r>
          <w:rPr>
            <w:rStyle w:val="Hyperlink"/>
          </w:rPr>
          <w:t xml:space="preserve">https://esystem.rudn.ru/pluginfile.php/1971653/mod_resource/content/2/Лабораторная%20работа%20№%204.pdf</w:t>
        </w:r>
      </w:hyperlink>
      <w:r>
        <w:t xml:space="preserve">.</w:t>
      </w:r>
    </w:p>
    <w:bookmarkEnd w:id="58"/>
    <w:bookmarkStart w:id="60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№3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9">
        <w:r>
          <w:rPr>
            <w:rStyle w:val="Hyperlink"/>
          </w:rPr>
          <w:t xml:space="preserve">https://esystem.rudn.ru/pluginfile.php/1971652/mod_resource/content/2/Лабораторная%20работа%20№%202.pdf</w:t>
        </w:r>
      </w:hyperlink>
      <w:r>
        <w:t xml:space="preserve">.</w:t>
      </w:r>
    </w:p>
    <w:bookmarkEnd w:id="60"/>
    <w:bookmarkStart w:id="62" w:name="ref-diff-eq-doc: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1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hyperlink" Id="rId61" Target="https://docs.sciml.ai/DiffEqDocs/stable/" TargetMode="External" /><Relationship Type="http://schemas.openxmlformats.org/officeDocument/2006/relationships/hyperlink" Id="rId59" Target="https://esystem.rudn.ru/pluginfile.php/1971652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57" Target="https://esystem.rudn.ru/pluginfile.php/1971653/mod_resource/content/2/&#1051;&#1072;&#1073;&#1086;&#1088;&#1072;&#1090;&#1086;&#1088;&#1085;&#1072;&#1103;%20&#1088;&#1072;&#1073;&#1086;&#1090;&#1072;%20&#8470;%20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cs.sciml.ai/DiffEqDocs/stable/" TargetMode="External" /><Relationship Type="http://schemas.openxmlformats.org/officeDocument/2006/relationships/hyperlink" Id="rId59" Target="https://esystem.rudn.ru/pluginfile.php/1971652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57" Target="https://esystem.rudn.ru/pluginfile.php/1971653/mod_resource/content/2/&#1051;&#1072;&#1073;&#1086;&#1088;&#1072;&#1090;&#1086;&#1088;&#1085;&#1072;&#1103;%20&#1088;&#1072;&#1073;&#1086;&#1090;&#1072;%20&#8470;%20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Модель боевых действий.</dc:title>
  <dc:creator>Евдокимов Иван Андреевич. НФИбд-01-20</dc:creator>
  <dc:language>ru-RU</dc:language>
  <cp:keywords/>
  <dcterms:created xsi:type="dcterms:W3CDTF">2023-02-24T16:20:18Z</dcterms:created>
  <dcterms:modified xsi:type="dcterms:W3CDTF">2023-02-24T16:20:18Z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№28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