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Foundation Summary — Benjamín Vargas (Business Analyst)</w:t>
      </w:r>
    </w:p>
    <w:p>
      <w:pPr/>
      <w:r>
        <w:t>Oct 15, 2026 · Separa lo vigente al cierre de Fundamentos de los cambios posteriores.</w:t>
      </w:r>
    </w:p>
    <w:p>
      <w:pPr/>
      <w:r>
        <w:t>DSDM fija tiempo, costo y calidad al cierre de Fundamentos (Agile Business Consortium, s.f.-b). Fundamentos ya pasó en el calendario, por lo que este resumen se construye con los documentos vigentes y distingue los cambios posteriores.</w:t>
      </w:r>
    </w:p>
    <w:p>
      <w:pPr>
        <w:pStyle w:val="Heading2"/>
      </w:pPr>
      <w:r>
        <w:t>1. Resumen por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200"/>
        <w:gridCol w:w="4560"/>
        <w:gridCol w:w="2600"/>
      </w:tblGrid>
      <w:tr>
        <w:trPr>
          <w:cantSplit/>
          <w:tblHeader/>
        </w:trPr>
        <w:tc>
          <w:tcPr>
            <w:tcW w:type="dxa" w:w="2200"/>
            <w:shd w:val="clear" w:color="auto" w:fill="F2F2F2"/>
          </w:tcPr>
          <w:p>
            <w:r/>
            <w:r>
              <w:t>Producto</w:t>
            </w:r>
          </w:p>
        </w:tc>
        <w:tc>
          <w:tcPr>
            <w:tcW w:type="dxa" w:w="4560"/>
            <w:shd w:val="clear" w:color="auto" w:fill="F2F2F2"/>
          </w:tcPr>
          <w:p>
            <w:r/>
            <w:r>
              <w:t>Resumen</w:t>
            </w:r>
          </w:p>
        </w:tc>
        <w:tc>
          <w:tcPr>
            <w:tcW w:type="dxa" w:w="2600"/>
            <w:shd w:val="clear" w:color="auto" w:fill="F2F2F2"/>
          </w:tcPr>
          <w:p>
            <w:r/>
            <w:r>
              <w:t>Documento completo / estado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Business Case</w:t>
            </w:r>
          </w:p>
        </w:tc>
        <w:tc>
          <w:tcPr>
            <w:tcW w:type="dxa" w:w="4560"/>
          </w:tcPr>
          <w:p>
            <w:r/>
            <w:r>
              <w:t>Reducir pérdidas y mejorar el control del pañol de Duoc UC San Bernardo; hoy el registro es en Excel y pizarra.</w:t>
            </w:r>
          </w:p>
        </w:tc>
        <w:tc>
          <w:tcPr>
            <w:tcW w:type="dxa" w:w="2600"/>
          </w:tcPr>
          <w:p>
            <w:r/>
            <w:r>
              <w:t>Business Case (Iván Peña)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Lista Priorizada de Requerimientos</w:t>
            </w:r>
          </w:p>
        </w:tc>
        <w:tc>
          <w:tcPr>
            <w:tcW w:type="dxa" w:w="4560"/>
          </w:tcPr>
          <w:p>
            <w:r/>
            <w:r>
              <w:t>Prioridad MoSCoW por requerimiento (módulos DSH, PRE, ALE, INV, NFR, CAT, USR).</w:t>
            </w:r>
          </w:p>
        </w:tc>
        <w:tc>
          <w:tcPr>
            <w:tcW w:type="dxa" w:w="2600"/>
          </w:tcPr>
          <w:p>
            <w:r/>
            <w:r>
              <w:t>Requerimientos_Preliminares_5.xlsx y Jira (CPDS)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Solution Architecture Definition</w:t>
            </w:r>
          </w:p>
        </w:tc>
        <w:tc>
          <w:tcPr>
            <w:tcW w:type="dxa" w:w="4560"/>
          </w:tcPr>
          <w:p>
            <w:r/>
            <w:r>
              <w:t>Django 5.2 con plantillas en servidor, PostgreSQL, Celery + Redis, Docker Compose y Nginx; despliegue en Azure.</w:t>
            </w:r>
          </w:p>
        </w:tc>
        <w:tc>
          <w:tcPr>
            <w:tcW w:type="dxa" w:w="2600"/>
          </w:tcPr>
          <w:p>
            <w:r/>
            <w:r>
              <w:t>Solution Architecture Definition (revisión técnica: Matías)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Enfoque de desarrollo</w:t>
            </w:r>
          </w:p>
        </w:tc>
        <w:tc>
          <w:tcPr>
            <w:tcW w:type="dxa" w:w="4560"/>
          </w:tcPr>
          <w:p>
            <w:r/>
            <w:r>
              <w:t>Stack confirmado y reemplazo de Angular por plantillas Django para no depender de una sola persona.</w:t>
            </w:r>
          </w:p>
        </w:tc>
        <w:tc>
          <w:tcPr>
            <w:tcW w:type="dxa" w:w="2600"/>
          </w:tcPr>
          <w:p>
            <w:r/>
            <w:r>
              <w:t>Definición de Tecnologías (hecho)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Delivery Plan</w:t>
            </w:r>
          </w:p>
        </w:tc>
        <w:tc>
          <w:tcPr>
            <w:tcW w:type="dxa" w:w="4560"/>
          </w:tcPr>
          <w:p>
            <w:r/>
            <w:r>
              <w:t>EDT orientada a entregables: 11 entregables y 43 paquetes con MoSCoW al 10-09-2026, ejecutados en timeboxes de 15 días.</w:t>
            </w:r>
          </w:p>
        </w:tc>
        <w:tc>
          <w:tcPr>
            <w:tcW w:type="dxa" w:w="2600"/>
          </w:tcPr>
          <w:p>
            <w:r/>
            <w:r>
              <w:t>EDT del 10-09, Carta Gantt y Timebox Plan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t>Enfoque de gestión</w:t>
            </w:r>
          </w:p>
        </w:tc>
        <w:tc>
          <w:tcPr>
            <w:tcW w:type="dxa" w:w="4560"/>
          </w:tcPr>
          <w:p>
            <w:r/>
            <w:r>
              <w:t>DSDM con MoSCoW; roles asignados; timeboxes de 15 días (inicio, investigación, refinamiento, consolidación y cierre); cambios de alcance evaluados con MoSCoW; seguimiento en Jira (CPDS).</w:t>
            </w:r>
          </w:p>
        </w:tc>
        <w:tc>
          <w:tcPr>
            <w:tcW w:type="dxa" w:w="2600"/>
          </w:tcPr>
          <w:p>
            <w:r/>
            <w:r>
              <w:t>Management Approach Definition (Iker)</w:t>
            </w:r>
          </w:p>
        </w:tc>
      </w:tr>
    </w:tbl>
    <w:p/>
    <w:p>
      <w:pPr>
        <w:pStyle w:val="Heading2"/>
      </w:pPr>
      <w:r>
        <w:t>2. Priorización MoSCoW de la línea base (EDT del 10-09-2026)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val="clear" w:color="auto" w:fill="F2F2F2"/>
          </w:tcPr>
          <w:p>
            <w:r/>
            <w:r>
              <w:t>Prioridad</w:t>
            </w:r>
          </w:p>
        </w:tc>
        <w:tc>
          <w:tcPr>
            <w:tcW w:type="dxa" w:w="4680"/>
            <w:shd w:val="clear" w:color="auto" w:fill="F2F2F2"/>
          </w:tcPr>
          <w:p>
            <w:r/>
            <w:r>
              <w:t>Paquetes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Must</w:t>
            </w:r>
          </w:p>
        </w:tc>
        <w:tc>
          <w:tcPr>
            <w:tcW w:type="dxa" w:w="4680"/>
          </w:tcPr>
          <w:p>
            <w:r/>
            <w:r>
              <w:t>28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Should</w:t>
            </w:r>
          </w:p>
        </w:tc>
        <w:tc>
          <w:tcPr>
            <w:tcW w:type="dxa" w:w="4680"/>
          </w:tcPr>
          <w:p>
            <w:r/>
            <w:r>
              <w:t>14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Could</w:t>
            </w:r>
          </w:p>
        </w:tc>
        <w:tc>
          <w:tcPr>
            <w:tcW w:type="dxa" w:w="4680"/>
          </w:tcPr>
          <w:p>
            <w:r/>
            <w:r>
              <w:t>1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Total</w:t>
            </w:r>
          </w:p>
        </w:tc>
        <w:tc>
          <w:tcPr>
            <w:tcW w:type="dxa" w:w="4680"/>
          </w:tcPr>
          <w:p>
            <w:r/>
            <w:r>
              <w:t>43</w:t>
            </w:r>
          </w:p>
        </w:tc>
      </w:tr>
    </w:tbl>
    <w:p/>
    <w:p>
      <w:pPr/>
      <w:r>
        <w:t>Al 05-10 la EDT suma 59 paquetes (41 Must, 16 Should, 2 Could): 16 fueron agregados después de la línea base.</w:t>
      </w:r>
    </w:p>
    <w:p>
      <w:pPr>
        <w:pStyle w:val="Heading2"/>
      </w:pPr>
      <w:r>
        <w:t>3. Tiempo, costo y calidad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00"/>
        <w:gridCol w:w="4000"/>
        <w:gridCol w:w="3860"/>
      </w:tblGrid>
      <w:tr>
        <w:trPr>
          <w:cantSplit/>
          <w:tblHeader/>
        </w:trPr>
        <w:tc>
          <w:tcPr>
            <w:tcW w:type="dxa" w:w="1500"/>
            <w:shd w:val="clear" w:color="auto" w:fill="F2F2F2"/>
          </w:tcPr>
          <w:p>
            <w:r/>
            <w:r>
              <w:t>Dimensión</w:t>
            </w:r>
          </w:p>
        </w:tc>
        <w:tc>
          <w:tcPr>
            <w:tcW w:type="dxa" w:w="4000"/>
            <w:shd w:val="clear" w:color="auto" w:fill="F2F2F2"/>
          </w:tcPr>
          <w:p>
            <w:r/>
            <w:r>
              <w:t>Valor fijado</w:t>
            </w:r>
          </w:p>
        </w:tc>
        <w:tc>
          <w:tcPr>
            <w:tcW w:type="dxa" w:w="3860"/>
            <w:shd w:val="clear" w:color="auto" w:fill="F2F2F2"/>
          </w:tcPr>
          <w:p>
            <w:r/>
            <w:r>
              <w:t>Estado</w:t>
            </w:r>
          </w:p>
        </w:tc>
      </w:tr>
      <w:tr>
        <w:trPr>
          <w:cantSplit/>
        </w:trPr>
        <w:tc>
          <w:tcPr>
            <w:tcW w:type="dxa" w:w="1500"/>
          </w:tcPr>
          <w:p>
            <w:r/>
            <w:r>
              <w:t>Tiempo</w:t>
            </w:r>
          </w:p>
        </w:tc>
        <w:tc>
          <w:tcPr>
            <w:tcW w:type="dxa" w:w="4000"/>
          </w:tcPr>
          <w:p>
            <w:r/>
            <w:r>
              <w:t>Carta Gantt 2025-2: 18 semanas, Demo Day en la semana 18.</w:t>
            </w:r>
          </w:p>
        </w:tc>
        <w:tc>
          <w:tcPr>
            <w:tcW w:type="dxa" w:w="3860"/>
          </w:tcPr>
          <w:p>
            <w:r/>
            <w:r>
              <w:t>En la reunión con pañol se consideraron 12 semanas efectivas de trabajo, con entrega en la semana 16.</w:t>
            </w:r>
          </w:p>
        </w:tc>
      </w:tr>
      <w:tr>
        <w:trPr>
          <w:cantSplit/>
        </w:trPr>
        <w:tc>
          <w:tcPr>
            <w:tcW w:type="dxa" w:w="1500"/>
          </w:tcPr>
          <w:p>
            <w:r/>
            <w:r>
              <w:t>Costo</w:t>
            </w:r>
          </w:p>
        </w:tc>
        <w:tc>
          <w:tcPr>
            <w:tcW w:type="dxa" w:w="4000"/>
          </w:tcPr>
          <w:p>
            <w:r/>
            <w:r>
              <w:t>Horas del equipo; infraestructura con el crédito de Azure for Students (hasta 23-09-2027).</w:t>
            </w:r>
          </w:p>
        </w:tc>
        <w:tc>
          <w:tcPr>
            <w:tcW w:type="dxa" w:w="3860"/>
          </w:tcPr>
          <w:p>
            <w:r/>
            <w:r>
              <w:t>Se declara sobre horas del equipo y crédito de nube.</w:t>
            </w:r>
          </w:p>
        </w:tc>
      </w:tr>
      <w:tr>
        <w:trPr>
          <w:cantSplit/>
        </w:trPr>
        <w:tc>
          <w:tcPr>
            <w:tcW w:type="dxa" w:w="1500"/>
          </w:tcPr>
          <w:p>
            <w:r/>
            <w:r>
              <w:t>Calidad</w:t>
            </w:r>
          </w:p>
        </w:tc>
        <w:tc>
          <w:tcPr>
            <w:tcW w:type="dxa" w:w="4000"/>
          </w:tcPr>
          <w:p>
            <w:r/>
            <w:r>
              <w:t>1347 pruebas automatizadas y requerimientos no funcionales (NFR) de la Lista Priorizada.</w:t>
            </w:r>
          </w:p>
        </w:tc>
        <w:tc>
          <w:tcPr>
            <w:tcW w:type="dxa" w:w="3860"/>
          </w:tcPr>
          <w:p>
            <w:r/>
            <w:r>
              <w:t>Criterios de aceptación formales por timebox, definidos en el Timebox Plan.</w:t>
            </w:r>
          </w:p>
        </w:tc>
      </w:tr>
    </w:tbl>
    <w:p/>
    <w:p>
      <w:pPr>
        <w:pStyle w:val="Heading2"/>
      </w:pPr>
      <w:r>
        <w:t>4. Cambios posteriores a Fundamentos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00"/>
        <w:gridCol w:w="3800"/>
        <w:gridCol w:w="3260"/>
      </w:tblGrid>
      <w:tr>
        <w:trPr>
          <w:cantSplit/>
          <w:tblHeader/>
        </w:trPr>
        <w:tc>
          <w:tcPr>
            <w:tcW w:type="dxa" w:w="2300"/>
            <w:shd w:val="clear" w:color="auto" w:fill="F2F2F2"/>
          </w:tcPr>
          <w:p>
            <w:r/>
            <w:r>
              <w:t>Cambio</w:t>
            </w:r>
          </w:p>
        </w:tc>
        <w:tc>
          <w:tcPr>
            <w:tcW w:type="dxa" w:w="3800"/>
            <w:shd w:val="clear" w:color="auto" w:fill="F2F2F2"/>
          </w:tcPr>
          <w:p>
            <w:r/>
            <w:r>
              <w:t>Qué cambió</w:t>
            </w:r>
          </w:p>
        </w:tc>
        <w:tc>
          <w:tcPr>
            <w:tcW w:type="dxa" w:w="3260"/>
            <w:shd w:val="clear" w:color="auto" w:fill="F2F2F2"/>
          </w:tcPr>
          <w:p>
            <w:r/>
            <w:r>
              <w:t>Motivo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t>Alta unificada (30-09-2026)</w:t>
            </w:r>
          </w:p>
        </w:tc>
        <w:tc>
          <w:tcPr>
            <w:tcW w:type="dxa" w:w="3800"/>
          </w:tcPr>
          <w:p>
            <w:r/>
            <w:r>
              <w:t>Formulario único de alta; menú simplificado en Inventario; el turno sale de las pantallas.</w:t>
            </w:r>
          </w:p>
        </w:tc>
        <w:tc>
          <w:tcPr>
            <w:tcW w:type="dxa" w:w="3260"/>
          </w:tcPr>
          <w:p>
            <w:r/>
            <w:r>
              <w:t>Pañol encontró tedioso crear un tipo y luego ir a activos, kits o fungibles.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t>Préstamo con cabecera y líneas</w:t>
            </w:r>
          </w:p>
        </w:tc>
        <w:tc>
          <w:tcPr>
            <w:tcW w:type="dxa" w:w="3800"/>
          </w:tcPr>
          <w:p>
            <w:r/>
            <w:r>
              <w:t>Un préstamo pasa de una fila por elemento a cabecera + líneas.</w:t>
            </w:r>
          </w:p>
        </w:tc>
        <w:tc>
          <w:tcPr>
            <w:tcW w:type="dxa" w:w="3260"/>
          </w:tcPr>
          <w:p>
            <w:r/>
            <w:r>
              <w:t>Permitir un carrito multi-categoría.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t>Despliegue en Azure</w:t>
            </w:r>
          </w:p>
        </w:tc>
        <w:tc>
          <w:tcPr>
            <w:tcW w:type="dxa" w:w="3800"/>
          </w:tcPr>
          <w:p>
            <w:r/>
            <w:r>
              <w:t>Azure for Students en lugar de Raspberry Pi 3 B+ (la Raspberry queda como respaldo de BD).</w:t>
            </w:r>
          </w:p>
        </w:tc>
        <w:tc>
          <w:tcPr>
            <w:tcW w:type="dxa" w:w="3260"/>
          </w:tcPr>
          <w:p>
            <w:r/>
            <w:r>
              <w:t>Decisión vigente de despliegue.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t>Alcance sin hardware</w:t>
            </w:r>
          </w:p>
        </w:tc>
        <w:tc>
          <w:tcPr>
            <w:tcW w:type="dxa" w:w="3800"/>
          </w:tcPr>
          <w:p>
            <w:r/>
            <w:r>
              <w:t>Se excluyen RFID, GPS y beacons; la ubicación se registra por sectores.</w:t>
            </w:r>
          </w:p>
        </w:tc>
        <w:tc>
          <w:tcPr>
            <w:tcW w:type="dxa" w:w="3260"/>
          </w:tcPr>
          <w:p>
            <w:r/>
            <w:r>
              <w:t>Restricciones de tiempo del proyecto.</w:t>
            </w:r>
          </w:p>
        </w:tc>
      </w:tr>
    </w:tbl>
    <w:p/>
    <w:p>
      <w:pPr>
        <w:pStyle w:val="Heading2"/>
      </w:pPr>
      <w:r>
        <w:t>5. Decisión de continuar</w:t>
      </w:r>
    </w:p>
    <w:p>
      <w:pPr/>
      <w:r>
        <w:t>La decisión de continuar corresponde al Business Sponsor y al Business Visionary, con la revisión de la profesora.</w:t>
      </w:r>
    </w:p>
    <w:p>
      <w:pPr>
        <w:pStyle w:val="Heading2"/>
      </w:pPr>
      <w:r>
        <w:t>6. Revisiones</w:t>
      </w:r>
    </w:p>
    <w:p>
      <w:pPr>
        <w:pStyle w:val="ListParagraph"/>
        <w:numPr>
          <w:ilvl w:val="0"/>
          <w:numId w:val="1"/>
        </w:numPr>
      </w:pPr>
      <w:r>
        <w:t>Business Case (Iván), Management Approach Definition (Iker) y aprobación técnica de la arquitectura (Matías).</w:t>
      </w:r>
    </w:p>
    <w:p>
      <w:pPr>
        <w:pStyle w:val="ListParagraph"/>
        <w:numPr>
          <w:ilvl w:val="0"/>
          <w:numId w:val="1"/>
        </w:numPr>
      </w:pPr>
      <w:r>
        <w:t>Revisión del Business Sponsor, del Business Visionary y de la profesora.</w:t>
      </w:r>
    </w:p>
    <w:p>
      <w:pPr>
        <w:pStyle w:val="Heading2"/>
      </w:pPr>
      <w:r>
        <w:t>Referencias</w:t>
      </w:r>
    </w:p>
    <w:p>
      <w:pPr/>
      <w:r>
        <w:t>Agile Business Consortium. (s.f.-b). Chapter 3: Philosophy and fundamentals. En The DSDM Agile Project Framework. https://www.agilebusiness.org/page/ProjectFramework_03_PhilosophyFundamentals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agilebusiness.org/page/ProjectFramework_08_Product" TargetMode="External"/><Relationship Id="rId4" Type="http://schemas.openxmlformats.org/officeDocument/2006/relationships/hyperlink" Target="https://www.agilebusiness.org/page/ProjectFramework_13_Timeboxing" TargetMode="External"/><Relationship Id="rId5" Type="http://schemas.openxmlformats.org/officeDocument/2006/relationships/hyperlink" Target="https://www.omg.org/spec/BPMN/2.0.2/About-BPMN" TargetMode="External"/><Relationship Id="rId6" Type="http://schemas.openxmlformats.org/officeDocument/2006/relationships/hyperlink" Target="https://c4model.com/" TargetMode="External"/><Relationship Id="rId7" Type="http://schemas.openxmlformats.org/officeDocument/2006/relationships/hyperlink" Target="https://www.agilebusiness.org/page/ProjectFramework_03_PhilosophyFundamental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Reparto de artefactos DSDM — Control de Pañol</dc:title>
  <dc:description>Claude Docs node/3a879b81-c84a@6 docx-w6</dc:description>
  <cp:revision>6</cp:revision>
</cp:coreProperties>
</file>