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Project Review Report — Benjamín Vargas (Business Analyst)</w:t>
      </w:r>
    </w:p>
    <w:p>
      <w:pPr/>
      <w:r>
        <w:t>Oct 15, 2026 · Revisión: Iker (Project Manager)</w:t>
      </w:r>
    </w:p>
    <w:p>
      <w:pPr/>
      <w:r>
        <w:t>Un solo documento al que se agrega una sección por incremento cerrado. Los incrementos corresponden a los timeboxes de 15 días del Timebox Plan y se documentan con los registros de revisión y los estados de la EDT.</w:t>
      </w:r>
    </w:p>
    <w:p>
      <w:pPr>
        <w:pStyle w:val="Heading2"/>
      </w:pPr>
      <w:r>
        <w:t>1. Incrementos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00"/>
        <w:gridCol w:w="3500"/>
        <w:gridCol w:w="4360"/>
      </w:tblGrid>
      <w:tr>
        <w:trPr>
          <w:cantSplit/>
          <w:tblHeader/>
        </w:trPr>
        <w:tc>
          <w:tcPr>
            <w:tcW w:type="dxa" w:w="1500"/>
            <w:shd w:val="clear" w:color="auto" w:fill="F2F2F2"/>
          </w:tcPr>
          <w:p>
            <w:r/>
            <w:r>
              <w:t>Timebox</w:t>
            </w:r>
          </w:p>
        </w:tc>
        <w:tc>
          <w:tcPr>
            <w:tcW w:type="dxa" w:w="3500"/>
            <w:shd w:val="clear" w:color="auto" w:fill="F2F2F2"/>
          </w:tcPr>
          <w:p>
            <w:r/>
            <w:r>
              <w:t>Periodo</w:t>
            </w:r>
          </w:p>
        </w:tc>
        <w:tc>
          <w:tcPr>
            <w:tcW w:type="dxa" w:w="4360"/>
            <w:shd w:val="clear" w:color="auto" w:fill="F2F2F2"/>
          </w:tcPr>
          <w:p>
            <w:r/>
            <w:r>
              <w:t>Estado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A</w:t>
            </w:r>
          </w:p>
        </w:tc>
        <w:tc>
          <w:tcPr>
            <w:tcW w:type="dxa" w:w="3500"/>
          </w:tcPr>
          <w:p>
            <w:r/>
            <w:r>
              <w:t>Hasta el 10-09-2026</w:t>
            </w:r>
          </w:p>
        </w:tc>
        <w:tc>
          <w:tcPr>
            <w:tcW w:type="dxa" w:w="4360"/>
          </w:tcPr>
          <w:p>
            <w:r/>
            <w:r>
              <w:t>Cerrado: revisión tipo Refinement del 10-09 y validación con pañol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B</w:t>
            </w:r>
          </w:p>
        </w:tc>
        <w:tc>
          <w:tcPr>
            <w:tcW w:type="dxa" w:w="3500"/>
          </w:tcPr>
          <w:p>
            <w:r/>
            <w:r>
              <w:t>Desde el 11-09-2026 (incluye el replanteo del 30-09)</w:t>
            </w:r>
          </w:p>
        </w:tc>
        <w:tc>
          <w:tcPr>
            <w:tcW w:type="dxa" w:w="4360"/>
          </w:tcPr>
          <w:p>
            <w:r/>
            <w:r>
              <w:t>En curso: informe técnico preliminar (12-09) y estado de la EDT al 05-10</w:t>
            </w:r>
          </w:p>
        </w:tc>
      </w:tr>
    </w:tbl>
    <w:p/>
    <w:p>
      <w:pPr>
        <w:pStyle w:val="Heading2"/>
      </w:pPr>
      <w:r>
        <w:t>2. Timebox A (hasta el 10-09-2026)</w:t>
      </w:r>
    </w:p>
    <w:p>
      <w:pPr>
        <w:pStyle w:val="Heading3"/>
      </w:pPr>
      <w:r>
        <w:t>Entregado frente a lo planificado</w:t>
      </w:r>
    </w:p>
    <w:p>
      <w:pPr/>
      <w:r>
        <w:t>La EDT del 10-09 tiene 43 paquetes. Estado a esa fecha: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val="clear" w:color="auto" w:fill="F2F2F2"/>
          </w:tcPr>
          <w:p>
            <w:r/>
            <w:r>
              <w:t>Estado</w:t>
            </w:r>
          </w:p>
        </w:tc>
        <w:tc>
          <w:tcPr>
            <w:tcW w:type="dxa" w:w="4680"/>
            <w:shd w:val="clear" w:color="auto" w:fill="F2F2F2"/>
          </w:tcPr>
          <w:p>
            <w:r/>
            <w:r>
              <w:t>Paquetes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Completado</w:t>
            </w:r>
          </w:p>
        </w:tc>
        <w:tc>
          <w:tcPr>
            <w:tcW w:type="dxa" w:w="4680"/>
          </w:tcPr>
          <w:p>
            <w:r/>
            <w:r>
              <w:t>8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Validado por pañol</w:t>
            </w:r>
          </w:p>
        </w:tc>
        <w:tc>
          <w:tcPr>
            <w:tcW w:type="dxa" w:w="4680"/>
          </w:tcPr>
          <w:p>
            <w:r/>
            <w:r>
              <w:t>7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En desarrollo</w:t>
            </w:r>
          </w:p>
        </w:tc>
        <w:tc>
          <w:tcPr>
            <w:tcW w:type="dxa" w:w="4680"/>
          </w:tcPr>
          <w:p>
            <w:r/>
            <w:r>
              <w:t>5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Parcial</w:t>
            </w:r>
          </w:p>
        </w:tc>
        <w:tc>
          <w:tcPr>
            <w:tcW w:type="dxa" w:w="4680"/>
          </w:tcPr>
          <w:p>
            <w:r/>
            <w:r>
              <w:t>2</w:t>
            </w:r>
          </w:p>
        </w:tc>
      </w:tr>
      <w:tr>
        <w:trPr>
          <w:cantSplit/>
        </w:trPr>
        <w:tc>
          <w:tcPr>
            <w:tcW w:type="dxa" w:w="4680"/>
          </w:tcPr>
          <w:p>
            <w:r/>
            <w:r>
              <w:t>Pendiente</w:t>
            </w:r>
          </w:p>
        </w:tc>
        <w:tc>
          <w:tcPr>
            <w:tcW w:type="dxa" w:w="4680"/>
          </w:tcPr>
          <w:p>
            <w:r/>
            <w:r>
              <w:t>21</w:t>
            </w:r>
          </w:p>
        </w:tc>
      </w:tr>
    </w:tbl>
    <w:p/>
    <w:p>
      <w:pPr/>
      <w:r>
        <w:t>El Informe Técnico preliminar del 12-09 reporta 8 de 11 entregables de la EDT completados; la unidad (entregables y no paquetes) difiere de la tabla anterior.</w:t>
      </w:r>
    </w:p>
    <w:p>
      <w:pPr>
        <w:pStyle w:val="Heading3"/>
      </w:pPr>
      <w:r>
        <w:t>Retroalimentación de pañol</w:t>
      </w:r>
    </w:p>
    <w:p>
      <w:pPr/>
      <w:r>
        <w:t>Pañol validó 7 paquetes el 10-09 en la revisión tipo Refinement: categorías, atributos dinámicos y formatos de empaque; ingreso masivo de activos y fungibles; kits con manifiesto; e historial unificado por unidad de activo. Al usar el inventario, encontró tedioso crear un tipo de elemento y luego ir a activos, kits o fungibles.</w:t>
      </w:r>
    </w:p>
    <w:p>
      <w:pPr>
        <w:pStyle w:val="Heading3"/>
      </w:pPr>
      <w:r>
        <w:t>Pendiente al cierre</w:t>
      </w:r>
    </w:p>
    <w:p>
      <w:pPr/>
      <w:r>
        <w:t>La disposición formal de lo no terminado (siguiente timebox, reprogramar o descartar) se registra en el Timebox Review Record.</w:t>
      </w:r>
    </w:p>
    <w:p>
      <w:pPr>
        <w:pStyle w:val="Heading2"/>
      </w:pPr>
      <w:r>
        <w:t>3. Timebox B (desde el 11-09-2026, en curso)</w:t>
      </w:r>
    </w:p>
    <w:p>
      <w:pPr>
        <w:pStyle w:val="Heading3"/>
      </w:pPr>
      <w:r>
        <w:t>Entregado frente a lo planificado</w:t>
      </w:r>
    </w:p>
    <w:p>
      <w:pPr/>
      <w:r>
        <w:t>Al 05-10 la EDT tiene 59 paquetes (43 de la línea base y 16 agregados). Al menos 31 figuran como completados. Entre los avances de la línea base:</w:t>
      </w:r>
    </w:p>
    <w:p>
      <w:pPr>
        <w:pStyle w:val="ListParagraph"/>
        <w:numPr>
          <w:ilvl w:val="0"/>
          <w:numId w:val="1"/>
        </w:numPr>
      </w:pPr>
      <w:r>
        <w:t>Préstamos con cabecera y líneas (6.1 y 6.2) completados.</w:t>
      </w:r>
    </w:p>
    <w:p>
      <w:pPr>
        <w:pStyle w:val="ListParagraph"/>
        <w:numPr>
          <w:ilvl w:val="0"/>
          <w:numId w:val="1"/>
        </w:numPr>
      </w:pPr>
      <w:r>
        <w:t>Observación obligatoria al marcar dañado o perdido (8.1) y alerta por campanita y correo (8.3) completadas.</w:t>
      </w:r>
    </w:p>
    <w:p>
      <w:pPr>
        <w:pStyle w:val="ListParagraph"/>
        <w:numPr>
          <w:ilvl w:val="0"/>
          <w:numId w:val="1"/>
        </w:numPr>
      </w:pPr>
      <w:r>
        <w:t>Historial de actividad con exportación a Excel (4.4) construido.</w:t>
      </w:r>
    </w:p>
    <w:p>
      <w:pPr>
        <w:pStyle w:val="ListParagraph"/>
        <w:numPr>
          <w:ilvl w:val="0"/>
          <w:numId w:val="1"/>
        </w:numPr>
      </w:pPr>
      <w:r>
        <w:t>Usuarios y roles (9.1 y 9.2) completados; matriz de permisos pendiente.</w:t>
      </w:r>
    </w:p>
    <w:p>
      <w:pPr>
        <w:pStyle w:val="ListParagraph"/>
        <w:numPr>
          <w:ilvl w:val="0"/>
          <w:numId w:val="1"/>
        </w:numPr>
      </w:pPr>
      <w:r>
        <w:t>Informe técnico preliminar entregado el 12-09 (11.2); primer registro de revisión hecho el 10-09 (11.5).</w:t>
      </w:r>
    </w:p>
    <w:p>
      <w:pPr>
        <w:pStyle w:val="Heading3"/>
      </w:pPr>
      <w:r>
        <w:t>Retroalimentación de pañol (reunión del 30-09)</w:t>
      </w:r>
    </w:p>
    <w:p>
      <w:pPr>
        <w:pStyle w:val="ListParagraph"/>
        <w:numPr>
          <w:ilvl w:val="0"/>
          <w:numId w:val="1"/>
        </w:numPr>
      </w:pPr>
      <w:r>
        <w:t>Crear un tipo y luego ir a activos, kits o fungibles resultó tedioso: se replanteó con la alta unificada (formulario único, menú simplificado).</w:t>
      </w:r>
    </w:p>
    <w:p>
      <w:pPr>
        <w:pStyle w:val="ListParagraph"/>
        <w:numPr>
          <w:ilvl w:val="0"/>
          <w:numId w:val="1"/>
        </w:numPr>
      </w:pPr>
      <w:r>
        <w:t>El turno sale de las pantallas y queda solo en historial y actividad del día (6.3 replanteado).</w:t>
      </w:r>
    </w:p>
    <w:p>
      <w:pPr>
        <w:pStyle w:val="ListParagraph"/>
        <w:numPr>
          <w:ilvl w:val="0"/>
          <w:numId w:val="1"/>
        </w:numPr>
      </w:pPr>
      <w:r>
        <w:t>La categoría pasa a ser opcional y los atributos se asocian al elemento.</w:t>
      </w:r>
    </w:p>
    <w:p>
      <w:pPr>
        <w:pStyle w:val="Heading3"/>
      </w:pPr>
      <w:r>
        <w:t>Pendiente al cierre</w:t>
      </w:r>
    </w:p>
    <w:p>
      <w:pPr>
        <w:pStyle w:val="ListParagraph"/>
        <w:numPr>
          <w:ilvl w:val="0"/>
          <w:numId w:val="1"/>
        </w:numPr>
      </w:pPr>
      <w:r>
        <w:t>Alta unificada: en curso (3.6), pendiente de revisión visual y feedback de pañol; etapa 7 pendiente (6.8).</w:t>
      </w:r>
    </w:p>
    <w:p>
      <w:pPr>
        <w:pStyle w:val="ListParagraph"/>
        <w:numPr>
          <w:ilvl w:val="0"/>
          <w:numId w:val="1"/>
        </w:numPr>
      </w:pPr>
      <w:r>
        <w:t>Seguridad: hashes SRI y redirección abierta pendientes antes de producción; Redis real en QA.</w:t>
      </w:r>
    </w:p>
    <w:p>
      <w:pPr>
        <w:pStyle w:val="ListParagraph"/>
        <w:numPr>
          <w:ilvl w:val="0"/>
          <w:numId w:val="1"/>
        </w:numPr>
      </w:pPr>
      <w:r>
        <w:t>Capacitación (11.3) y documentación de cierre (11.4) pendientes.</w:t>
      </w:r>
    </w:p>
    <w:p>
      <w:pPr>
        <w:pStyle w:val="ListParagraph"/>
        <w:numPr>
          <w:ilvl w:val="0"/>
          <w:numId w:val="1"/>
        </w:numPr>
      </w:pPr>
      <w:r>
        <w:t>En confirmación con pañol: 5.1, 5.2, 8.2 y 6.4; 11.1 (cuantificación económica y factibilidad legal).</w:t>
      </w:r>
    </w:p>
    <w:p>
      <w:pPr>
        <w:pStyle w:val="Heading2"/>
      </w:pPr>
      <w:r>
        <w:t>4. Aprendizajes de la retrospectiva</w:t>
      </w:r>
    </w:p>
    <w:p>
      <w:pPr/>
      <w:r>
        <w:t>Se registrará tras la retrospectiva del equipo sobre los incrementos cerrados.</w:t>
      </w:r>
    </w:p>
    <w:p>
      <w:pPr>
        <w:pStyle w:val="Heading2"/>
      </w:pPr>
      <w:r>
        <w:t>5. Beneficios logrados</w:t>
      </w:r>
    </w:p>
    <w:p>
      <w:pPr/>
      <w:r>
        <w:t>No aplica aún: requieren uso real del sistema por los encargados.</w:t>
      </w:r>
    </w:p>
    <w:p>
      <w:pPr>
        <w:pStyle w:val="Heading2"/>
      </w:pPr>
      <w:r>
        <w:t>6. Revisión</w:t>
      </w:r>
    </w:p>
    <w:p>
      <w:pPr/>
      <w:r>
        <w:t>Revisión de Iker como Project Manager.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gilebusiness.org/page/ProjectFramework_08_Product" TargetMode="External"/><Relationship Id="rId4" Type="http://schemas.openxmlformats.org/officeDocument/2006/relationships/hyperlink" Target="https://www.agilebusiness.org/page/ProjectFramework_13_Timeboxing" TargetMode="External"/><Relationship Id="rId5" Type="http://schemas.openxmlformats.org/officeDocument/2006/relationships/hyperlink" Target="https://www.omg.org/spec/BPMN/2.0.2/About-BPMN" TargetMode="External"/><Relationship Id="rId6" Type="http://schemas.openxmlformats.org/officeDocument/2006/relationships/hyperlink" Target="https://c4model.com/" TargetMode="External"/><Relationship Id="rId7" Type="http://schemas.openxmlformats.org/officeDocument/2006/relationships/hyperlink" Target="https://www.agilebusiness.org/page/ProjectFramework_03_PhilosophyFundamental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Reparto de artefactos DSDM — Control de Pañol</dc:title>
  <dc:description>Claude Docs node/3a879b81-c84a@6 docx-w6</dc:description>
  <cp:revision>6</cp:revision>
</cp:coreProperties>
</file>