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Solution Architecture Definition — Benjamín Vargas (Business Analyst)</w:t>
      </w:r>
    </w:p>
    <w:p>
      <w:pPr/>
      <w:r>
        <w:t>Oct 15, 2026 · Revisión técnica: Matías Molina (Technical Coordinator)</w:t>
      </w:r>
    </w:p>
    <w:p>
      <w:pPr/>
      <w:r>
        <w:t>Reúne en un solo documento cómo está construido el sistema y qué procesos del pañol cambia. Los procesos se representan con diagramas por carriles (actor y sistema), siguiendo la lógica de BPMN 2.0.2 (OMG, 2014).</w:t>
      </w:r>
    </w:p>
    <w:p>
      <w:pPr>
        <w:pStyle w:val="Heading2"/>
      </w:pPr>
      <w:r>
        <w:t>1. Procesos actuales del pañol</w:t>
      </w:r>
    </w:p>
    <w:p>
      <w:pPr/>
      <w:r>
        <w:t>Fuente: reunión de la semana 3 con los encargados. Todo se basa en planillas Excel y anotaciones en pizarra; cuentan con un sistema, pero no sirve para manejar el inventario.</w:t>
      </w:r>
    </w:p>
    <w:p>
      <w:pPr>
        <w:pStyle w:val="ListParagraph"/>
        <w:numPr>
          <w:ilvl w:val="0"/>
          <w:numId w:val="1"/>
        </w:numPr>
      </w:pPr>
      <w:r>
        <w:t>Entre la jornada diurna y la vespertina se avisan por WhatsApp, sin registro unificado de qué se prestó, a quién y en qué jornada.</w:t>
      </w:r>
    </w:p>
    <w:p>
      <w:pPr>
        <w:pStyle w:val="ListParagraph"/>
        <w:numPr>
          <w:ilvl w:val="0"/>
          <w:numId w:val="1"/>
        </w:numPr>
      </w:pPr>
      <w:r>
        <w:t>Los activos están rotulados y listados; los fungibles no tienen control exacto y se compran de forma constante.</w:t>
      </w:r>
    </w:p>
    <w:p>
      <w:pPr>
        <w:pStyle w:val="ListParagraph"/>
        <w:numPr>
          <w:ilvl w:val="0"/>
          <w:numId w:val="1"/>
        </w:numPr>
      </w:pPr>
      <w:r>
        <w:t>Los carros de notebooks se prestan, se controlan las llaves y se verifica que vuelvan en buen estado.</w:t>
      </w:r>
    </w:p>
    <w:p>
      <w:pPr>
        <w:pStyle w:val="ListParagraph"/>
        <w:numPr>
          <w:ilvl w:val="0"/>
          <w:numId w:val="1"/>
        </w:numPr>
      </w:pPr>
      <w:r>
        <w:t>Sin registro, no pueden justificar ante su jefatura la compra, el reemplazo o la reparación de elementos.</w:t>
      </w:r>
    </w:p>
    <w:p>
      <w:pPr>
        <w:jc w:val="center"/>
      </w:pPr>
      <w:r>
        <w:drawing>
          <wp:inline>
            <wp:extent cx="5852160" cy="1502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02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Proceso actual de préstamo.</w:t>
      </w:r>
    </w:p>
    <w:p>
      <w:pPr>
        <w:pStyle w:val="Heading2"/>
      </w:pPr>
      <w:r>
        <w:t>2. Procesos futuros</w:t>
      </w:r>
    </w:p>
    <w:p>
      <w:pPr>
        <w:pStyle w:val="Heading3"/>
      </w:pPr>
      <w:r>
        <w:t>2.1 Solicitud docente, entrega parcial y devolución en dos pasos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Solicitud:</w:t>
      </w:r>
      <w:r>
        <w:t xml:space="preserve"> el docente pide por tipo y cantidad entera, con fechas pedidas. El encargado aprueba, asigna las unidades físicas y entrega; las fechas confirmadas se registran aparte.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Entrega parcial:</w:t>
      </w:r>
      <w:r>
        <w:t xml:space="preserve"> dentro de la misma solicitud puede entregarse solo una parte.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Préstamo:</w:t>
      </w:r>
      <w:r>
        <w:t xml:space="preserve"> pasa de una fila por elemento a cabecera + líneas (carrito multi-categoría).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Devolución en dos pasos:</w:t>
      </w:r>
      <w:r>
        <w:t xml:space="preserve"> el docente declara (corregible por 2 horas) y el encargado verifica. El stock se libera solo con la verificación.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Dañado o perdido:</w:t>
      </w:r>
      <w:r>
        <w:t xml:space="preserve"> observación obligatoria; queda en el historial y genera aviso por campanita y correo.</w:t>
      </w:r>
    </w:p>
    <w:p>
      <w:pPr>
        <w:jc w:val="center"/>
      </w:pPr>
      <w:r>
        <w:drawing>
          <wp:inline>
            <wp:extent cx="5852160" cy="2454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ta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5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Proceso futuro de solicitud, préstamo y devolución.</w:t>
      </w:r>
    </w:p>
    <w:p>
      <w:pPr>
        <w:pStyle w:val="Heading3"/>
      </w:pPr>
      <w:r>
        <w:t>2.2 Alta unificada (desde 30-09-2026)</w:t>
      </w:r>
    </w:p>
    <w:p>
      <w:pPr>
        <w:pStyle w:val="ListParagraph"/>
        <w:numPr>
          <w:ilvl w:val="0"/>
          <w:numId w:val="1"/>
        </w:numPr>
      </w:pPr>
      <w:r>
        <w:t>Formulario único en una página. Obligatorios: nombre, cantidad y «¿es activo?»; el resto es opcional.</w:t>
      </w:r>
    </w:p>
    <w:p>
      <w:pPr>
        <w:pStyle w:val="ListParagraph"/>
        <w:numPr>
          <w:ilvl w:val="0"/>
          <w:numId w:val="1"/>
        </w:numPr>
      </w:pPr>
      <w:r>
        <w:t>Menú simplificado: todo en Inventario con filtros.</w:t>
      </w:r>
    </w:p>
    <w:p>
      <w:pPr>
        <w:pStyle w:val="ListParagraph"/>
        <w:numPr>
          <w:ilvl w:val="0"/>
          <w:numId w:val="1"/>
        </w:numPr>
      </w:pPr>
      <w:r>
        <w:t>La categoría solo clasifica; los atributos van siempre al elemento.</w:t>
      </w:r>
    </w:p>
    <w:p>
      <w:pPr>
        <w:pStyle w:val="ListParagraph"/>
        <w:numPr>
          <w:ilvl w:val="0"/>
          <w:numId w:val="1"/>
        </w:numPr>
      </w:pPr>
      <w:r>
        <w:t>Lo que trae un contenedor no activo se anota como descripción libre; solo los activos de adentro se eligen uno a uno.</w:t>
      </w:r>
    </w:p>
    <w:p>
      <w:pPr>
        <w:jc w:val="center"/>
      </w:pPr>
      <w:r>
        <w:drawing>
          <wp:inline>
            <wp:extent cx="5852160" cy="8104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10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Proceso futuro de alta unificada.</w:t>
      </w:r>
    </w:p>
    <w:p>
      <w:pPr/>
      <w:r>
        <w:t>Los procesos futuros se validan con Josefa y Rodolfo; la alta unificada está en revisión con pañol.</w:t>
      </w:r>
    </w:p>
    <w:p>
      <w:pPr>
        <w:pStyle w:val="Heading2"/>
      </w:pPr>
      <w:r>
        <w:t>3. Actores y roles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00"/>
        <w:gridCol w:w="4660"/>
        <w:gridCol w:w="2800"/>
      </w:tblGrid>
      <w:tr>
        <w:trPr>
          <w:cantSplit/>
          <w:tblHeader/>
        </w:trPr>
        <w:tc>
          <w:tcPr>
            <w:tcW w:type="dxa" w:w="1900"/>
            <w:shd w:val="clear" w:color="auto" w:fill="F2F2F2"/>
          </w:tcPr>
          <w:p>
            <w:r/>
            <w:r>
              <w:t>Rol</w:t>
            </w:r>
          </w:p>
        </w:tc>
        <w:tc>
          <w:tcPr>
            <w:tcW w:type="dxa" w:w="4660"/>
            <w:shd w:val="clear" w:color="auto" w:fill="F2F2F2"/>
          </w:tcPr>
          <w:p>
            <w:r/>
            <w:r>
              <w:t>Qué hace en el sistema</w:t>
            </w:r>
          </w:p>
        </w:tc>
        <w:tc>
          <w:tcPr>
            <w:tcW w:type="dxa" w:w="2800"/>
            <w:shd w:val="clear" w:color="auto" w:fill="F2F2F2"/>
          </w:tcPr>
          <w:p>
            <w:r/>
            <w:r>
              <w:t>Estado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t>Administrador</w:t>
            </w:r>
          </w:p>
        </w:tc>
        <w:tc>
          <w:tcPr>
            <w:tcW w:type="dxa" w:w="4660"/>
          </w:tcPr>
          <w:p>
            <w:r/>
            <w:r>
              <w:t>Gestión de usuarios, roles y módulos</w:t>
            </w:r>
          </w:p>
        </w:tc>
        <w:tc>
          <w:tcPr>
            <w:tcW w:type="dxa" w:w="2800"/>
          </w:tcPr>
          <w:p>
            <w:r/>
            <w:r>
              <w:t>Rol existe; matriz de permisos en definición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t>Encargado de pañol</w:t>
            </w:r>
          </w:p>
        </w:tc>
        <w:tc>
          <w:tcPr>
            <w:tcW w:type="dxa" w:w="4660"/>
          </w:tcPr>
          <w:p>
            <w:r/>
            <w:r>
              <w:t>Inventario, aprobación y entrega de solicitudes, verificación de devoluciones</w:t>
            </w:r>
          </w:p>
        </w:tc>
        <w:tc>
          <w:tcPr>
            <w:tcW w:type="dxa" w:w="2800"/>
          </w:tcPr>
          <w:p>
            <w:r/>
            <w:r>
              <w:t>Rol existe; matriz de permisos en definición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t>Docente</w:t>
            </w:r>
          </w:p>
        </w:tc>
        <w:tc>
          <w:tcPr>
            <w:tcW w:type="dxa" w:w="4660"/>
          </w:tcPr>
          <w:p>
            <w:r/>
            <w:r>
              <w:t>Solicitudes y declaración de devolución desde el portal</w:t>
            </w:r>
          </w:p>
        </w:tc>
        <w:tc>
          <w:tcPr>
            <w:tcW w:type="dxa" w:w="2800"/>
          </w:tcPr>
          <w:p>
            <w:r/>
            <w:r>
              <w:t>Rol existe; matriz de permisos en definición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t>Alumno</w:t>
            </w:r>
          </w:p>
        </w:tc>
        <w:tc>
          <w:tcPr>
            <w:tcW w:type="dxa" w:w="4660"/>
          </w:tcPr>
          <w:p>
            <w:r/>
            <w:r>
              <w:t>Rol existente; en este pañol pide el docente por el curso</w:t>
            </w:r>
          </w:p>
        </w:tc>
        <w:tc>
          <w:tcPr>
            <w:tcW w:type="dxa" w:w="2800"/>
          </w:tcPr>
          <w:p>
            <w:r/>
            <w:r>
              <w:t>Rol existe; matriz de permisos en definición</w:t>
            </w:r>
          </w:p>
        </w:tc>
      </w:tr>
      <w:tr>
        <w:trPr>
          <w:cantSplit/>
        </w:trPr>
        <w:tc>
          <w:tcPr>
            <w:tcW w:type="dxa" w:w="1900"/>
          </w:tcPr>
          <w:p>
            <w:r/>
            <w:r>
              <w:t>Consulta</w:t>
            </w:r>
          </w:p>
        </w:tc>
        <w:tc>
          <w:tcPr>
            <w:tcW w:type="dxa" w:w="4660"/>
          </w:tcPr>
          <w:p>
            <w:r/>
            <w:r>
              <w:t>Solo lectura</w:t>
            </w:r>
          </w:p>
        </w:tc>
        <w:tc>
          <w:tcPr>
            <w:tcW w:type="dxa" w:w="2800"/>
          </w:tcPr>
          <w:p>
            <w:r/>
            <w:r>
              <w:t>Rol creado; matriz de permisos en definición</w:t>
            </w:r>
          </w:p>
        </w:tc>
      </w:tr>
    </w:tbl>
    <w:p/>
    <w:p>
      <w:pPr/>
      <w:r>
        <w:t>El acceso se controla por Módulo y Group nativos de Django. La matriz de permisos por rol está en definición con los encargados.</w:t>
      </w:r>
    </w:p>
    <w:p>
      <w:pPr>
        <w:pStyle w:val="Heading2"/>
      </w:pPr>
      <w:r>
        <w:t>4. Componentes técnicos</w:t>
      </w:r>
    </w:p>
    <w:p>
      <w:pPr/>
      <w:r>
        <w:t>Stack: Django 5.2 con plantillas renderizadas en servidor (sin SPA), PostgreSQL, Celery worker + beat para correos, Redis (broker y caché), gunicorn detrás de Nginx, Docker Compose, Bootstrap 5 y jQuery, y Server-Sent Events para el dashboard.</w:t>
      </w:r>
    </w:p>
    <w:p>
      <w:pPr/>
      <w:r>
        <w:t>Cada app sigue el mismo patrón: models (restricciones de BD), selectors (solo lecturas), services (escrituras con transacción y full_clean() antes de guardar), forms (solo validación) y views con control de acceso. La lógica de negocio nunca va en vistas ni plantillas.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shd w:val="clear" w:color="auto" w:fill="F2F2F2"/>
          </w:tcPr>
          <w:p>
            <w:r/>
            <w:r>
              <w:t>App</w:t>
            </w:r>
          </w:p>
        </w:tc>
        <w:tc>
          <w:tcPr>
            <w:tcW w:type="dxa" w:w="6360"/>
            <w:shd w:val="clear" w:color="auto" w:fill="F2F2F2"/>
          </w:tcPr>
          <w:p>
            <w:r/>
            <w:r>
              <w:t>Responsabilidad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t>core / accounts / roles</w:t>
            </w:r>
          </w:p>
        </w:tc>
        <w:tc>
          <w:tcPr>
            <w:tcW w:type="dxa" w:w="6360"/>
          </w:tcPr>
          <w:p>
            <w:r/>
            <w:r>
              <w:t>Dashboard y menú; usuarios y personas; grupos y módulos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t>categories / locations / inventory</w:t>
            </w:r>
          </w:p>
        </w:tc>
        <w:tc>
          <w:tcPr>
            <w:tcW w:type="dxa" w:w="6360"/>
          </w:tcPr>
          <w:p>
            <w:r/>
            <w:r>
              <w:t>Categorías; sectores; tipos de elemento y atributos dinámicos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t>assets / fungibles / kits</w:t>
            </w:r>
          </w:p>
        </w:tc>
        <w:tc>
          <w:tcPr>
            <w:tcW w:type="dxa" w:w="6360"/>
          </w:tcPr>
          <w:p>
            <w:r/>
            <w:r>
              <w:t>Unidades de activo e historial; lotes y stock; contención (carro de notebooks)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t>loans / portal / areas</w:t>
            </w:r>
          </w:p>
        </w:tc>
        <w:tc>
          <w:tcPr>
            <w:tcW w:type="dxa" w:w="6360"/>
          </w:tcPr>
          <w:p>
            <w:r/>
            <w:r>
              <w:t>Préstamos y solicitudes; portal docente; áreas docentes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t>notifications / alerts</w:t>
            </w:r>
          </w:p>
        </w:tc>
        <w:tc>
          <w:tcPr>
            <w:tcW w:type="dxa" w:w="6360"/>
          </w:tcPr>
          <w:p>
            <w:r/>
            <w:r>
              <w:t>Avisos in-app y por correo; configuración de eventos</w:t>
            </w:r>
          </w:p>
        </w:tc>
      </w:tr>
    </w:tbl>
    <w:p/>
    <w:p>
      <w:pPr>
        <w:pStyle w:val="Heading2"/>
      </w:pPr>
      <w:r>
        <w:t>5. Infraestructura y despliegue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val="clear" w:color="auto" w:fill="F2F2F2"/>
          </w:tcPr>
          <w:p>
            <w:r/>
            <w:r>
              <w:t>Aspecto</w:t>
            </w:r>
          </w:p>
        </w:tc>
        <w:tc>
          <w:tcPr>
            <w:tcW w:type="dxa" w:w="6960"/>
            <w:shd w:val="clear" w:color="auto" w:fill="F2F2F2"/>
          </w:tcPr>
          <w:p>
            <w:r/>
            <w:r>
              <w:t>Decisión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t>Nube</w:t>
            </w:r>
          </w:p>
        </w:tc>
        <w:tc>
          <w:tcPr>
            <w:tcW w:type="dxa" w:w="6960"/>
          </w:tcPr>
          <w:p>
            <w:r/>
            <w:r>
              <w:t>Azure for Students (crédito vigente hasta 23-09-2027)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t>Aplicación</w:t>
            </w:r>
          </w:p>
        </w:tc>
        <w:tc>
          <w:tcPr>
            <w:tcW w:type="dxa" w:w="6960"/>
          </w:tcPr>
          <w:p>
            <w:r/>
            <w:r>
              <w:t>VM panol-sb, Ubuntu 24.04, Nginx instalado en el sistema, gunicorn y Docker Compose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t>Base de datos</w:t>
            </w:r>
          </w:p>
        </w:tc>
        <w:tc>
          <w:tcPr>
            <w:tcW w:type="dxa" w:w="6960"/>
          </w:tcPr>
          <w:p>
            <w:r/>
            <w:r>
              <w:t>Azure Database for PostgreSQL flexible (PostgreSQL 17), acceso privado por VNet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t>HTTPS</w:t>
            </w:r>
          </w:p>
        </w:tc>
        <w:tc>
          <w:tcPr>
            <w:tcW w:type="dxa" w:w="6960"/>
          </w:tcPr>
          <w:p>
            <w:r/>
            <w:r>
              <w:t>certbot / Let's Encrypt sobre el dominio de Azure</w:t>
            </w:r>
          </w:p>
        </w:tc>
      </w:tr>
      <w:tr>
        <w:trPr>
          <w:cantSplit/>
        </w:trPr>
        <w:tc>
          <w:tcPr>
            <w:tcW w:type="dxa" w:w="2400"/>
          </w:tcPr>
          <w:p>
            <w:r/>
            <w:r>
              <w:t>Pendientes</w:t>
            </w:r>
          </w:p>
        </w:tc>
        <w:tc>
          <w:tcPr>
            <w:tcW w:type="dxa" w:w="6960"/>
          </w:tcPr>
          <w:p>
            <w:r/>
            <w:r>
              <w:t>Acceso de compañeros por IAM, respaldo de la BD, Redis real para rate limiting en QA</w:t>
            </w:r>
          </w:p>
        </w:tc>
      </w:tr>
    </w:tbl>
    <w:p/>
    <w:p>
      <w:pPr/>
      <w:r>
        <w:t>Vista de plataforma (modelo C4, Brown, s.f.): Nginx → Django → PostgreSQL; Django y Celery beat → Redis → Celery worker → servidor de correo, dentro de Docker Compose en la VM.</w:t>
      </w:r>
    </w:p>
    <w:p>
      <w:pPr>
        <w:pStyle w:val="Heading2"/>
      </w:pPr>
      <w:r>
        <w:t>6. Seguridad</w:t>
      </w:r>
    </w:p>
    <w:p>
      <w:pPr>
        <w:pStyle w:val="ListParagraph"/>
        <w:numPr>
          <w:ilvl w:val="0"/>
          <w:numId w:val="1"/>
        </w:numPr>
      </w:pPr>
      <w:r>
        <w:t>Login con rate limiting por IP y por usuario (HTTP 429).</w:t>
      </w:r>
    </w:p>
    <w:p>
      <w:pPr>
        <w:pStyle w:val="ListParagraph"/>
        <w:numPr>
          <w:ilvl w:val="0"/>
          <w:numId w:val="1"/>
        </w:numPr>
      </w:pPr>
      <w:r>
        <w:t>Control de acceso por módulo y grupo de Django.</w:t>
      </w:r>
    </w:p>
    <w:p>
      <w:pPr>
        <w:pStyle w:val="ListParagraph"/>
        <w:numPr>
          <w:ilvl w:val="0"/>
          <w:numId w:val="1"/>
        </w:numPr>
      </w:pPr>
      <w:r>
        <w:t>CSRF desde meta tag; detección de sesión expirada por middleware.</w:t>
      </w:r>
    </w:p>
    <w:p>
      <w:pPr>
        <w:pStyle w:val="ListParagraph"/>
        <w:numPr>
          <w:ilvl w:val="0"/>
          <w:numId w:val="1"/>
        </w:numPr>
      </w:pPr>
      <w:r>
        <w:t>Corrección de XSS con escapejs, guardia de SECRET_KEY, auditoría de dependencias y versiones de CDN fijadas.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En curso antes de producción:</w:t>
      </w:r>
      <w:r>
        <w:t xml:space="preserve"> hashes SRI, CSRF_COOKIE_HTTPONLY, redirección abierta en package_format_create, Redis real para rate limiting en QA.</w:t>
      </w:r>
    </w:p>
    <w:p>
      <w:pPr>
        <w:pStyle w:val="Heading2"/>
      </w:pPr>
      <w:r>
        <w:t>7. Requerimientos no funcionales</w:t>
      </w:r>
    </w:p>
    <w:p>
      <w:pPr/>
      <w:r>
        <w:t>Los requerimientos no funcionales (IDs NFR) se registran en la Lista Priorizada de Requerimientos. Definidos en el diseño: acceso multiusuario concurrente, uso responsivo desde el celular, control de acceso por rol y correos en segundo plano.</w:t>
      </w:r>
    </w:p>
    <w:p>
      <w:pPr>
        <w:pStyle w:val="Heading2"/>
      </w:pPr>
      <w:r>
        <w:t>8. Revisiones y aprobaciones</w:t>
      </w:r>
    </w:p>
    <w:p>
      <w:pPr>
        <w:pStyle w:val="ListParagraph"/>
        <w:numPr>
          <w:ilvl w:val="0"/>
          <w:numId w:val="2"/>
        </w:numPr>
      </w:pPr>
      <w:r>
        <w:t>Validar los procesos futuros con los encargados (Josefa y Rodolfo).</w:t>
      </w:r>
    </w:p>
    <w:p>
      <w:pPr>
        <w:pStyle w:val="ListParagraph"/>
        <w:numPr>
          <w:ilvl w:val="0"/>
          <w:numId w:val="2"/>
        </w:numPr>
      </w:pPr>
      <w:r>
        <w:t>Diagramas C4 de contexto, contenedores y despliegue, a cargo de Matías.</w:t>
      </w:r>
    </w:p>
    <w:p>
      <w:pPr>
        <w:pStyle w:val="ListParagraph"/>
        <w:numPr>
          <w:ilvl w:val="0"/>
          <w:numId w:val="2"/>
        </w:numPr>
      </w:pPr>
      <w:r>
        <w:t>Aprobación técnica de Matías como Technical Coordinator.</w:t>
      </w:r>
    </w:p>
    <w:p>
      <w:pPr>
        <w:pStyle w:val="Heading2"/>
      </w:pPr>
      <w:r>
        <w:t>Referencias</w:t>
      </w:r>
    </w:p>
    <w:p>
      <w:pPr/>
      <w:r>
        <w:t>Brown, S. (s.f.). The C4 model for visualising software architecture. https://c4model.com/</w:t>
      </w:r>
    </w:p>
    <w:p>
      <w:pPr/>
      <w:r>
        <w:t>Object Management Group. (2014). Business Process Model and Notation (BPMN), version 2.0.2. https://www.omg.org/spec/BPMN/2.0.2/About-BPMN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agilebusiness.org/page/ProjectFramework_08_Product" TargetMode="External"/><Relationship Id="rId4" Type="http://schemas.openxmlformats.org/officeDocument/2006/relationships/hyperlink" Target="https://www.agilebusiness.org/page/ProjectFramework_13_Timeboxing" TargetMode="External"/><Relationship Id="rId5" Type="http://schemas.openxmlformats.org/officeDocument/2006/relationships/hyperlink" Target="https://www.omg.org/spec/BPMN/2.0.2/About-BPMN" TargetMode="External"/><Relationship Id="rId6" Type="http://schemas.openxmlformats.org/officeDocument/2006/relationships/hyperlink" Target="https://c4model.com/" TargetMode="External"/><Relationship Id="rId7" Type="http://schemas.openxmlformats.org/officeDocument/2006/relationships/hyperlink" Target="https://www.agilebusiness.org/page/ProjectFramework_03_PhilosophyFundamentals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Reparto de artefactos DSDM — Control de Pañol</dc:title>
  <dc:description>Claude Docs node/3a879b81-c84a@6 docx-w6</dc:description>
  <cp:revision>6</cp:revision>
</cp:coreProperties>
</file>