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60" w:line="480" w:lineRule="auto"/>
        <w:jc w:val="center"/>
        <w:rPr>
          <w:b w:val="1"/>
          <w:bCs w:val="1"/>
          <w:color w:val="1f2a44"/>
          <w:sz w:val="36"/>
          <w:szCs w:val="36"/>
        </w:rPr>
      </w:pPr>
      <w:r w:rsidDel="00000000" w:rsidR="00000000" w:rsidRPr="00000000">
        <w:rPr>
          <w:b w:val="1"/>
          <w:bCs w:val="1"/>
          <w:color w:val="1f2a44"/>
          <w:sz w:val="36"/>
          <w:szCs w:val="36"/>
          <w:rtl w:val="0"/>
        </w:rPr>
        <w:t xml:space="preserve">Feasibility Assessment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line="480" w:lineRule="auto"/>
        <w:jc w:val="center"/>
        <w:rPr>
          <w:i w:val="1"/>
          <w:iCs w:val="1"/>
          <w:color w:val="2e5266"/>
        </w:rPr>
      </w:pPr>
      <w:r w:rsidDel="00000000" w:rsidR="00000000" w:rsidRPr="00000000">
        <w:rPr>
          <w:i w:val="1"/>
          <w:iCs w:val="1"/>
          <w:color w:val="2e5266"/>
          <w:rtl w:val="0"/>
        </w:rPr>
        <w:t xml:space="preserve">Producto DSDM — Fase de Factibilidad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2778085837867"/>
        <w:gridCol w:w="6610.234002439837"/>
        <w:tblGridChange w:id="0">
          <w:tblGrid>
            <w:gridCol w:w="2415.2778085837867"/>
            <w:gridCol w:w="6610.234002439837"/>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480" w:lineRule="auto"/>
              <w:rPr>
                <w:b w:val="1"/>
                <w:bCs w:val="1"/>
              </w:rPr>
            </w:pPr>
            <w:r w:rsidDel="00000000" w:rsidR="00000000" w:rsidRPr="00000000">
              <w:rPr>
                <w:b w:val="1"/>
                <w:bCs w:val="1"/>
                <w:rtl w:val="0"/>
              </w:rPr>
              <w:t xml:space="preserve">Proyecto</w:t>
            </w:r>
          </w:p>
        </w:tc>
        <w:tc>
          <w:tcPr>
            <w:tcBorders>
              <w:top w:color="000000" w:space="0" w:sz="7" w:val="single"/>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Sistema de Control de Bodega, Pañoles y Detección de Activos por Geolocalización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480" w:lineRule="auto"/>
              <w:rPr>
                <w:b w:val="1"/>
                <w:bCs w:val="1"/>
              </w:rPr>
            </w:pPr>
            <w:r w:rsidDel="00000000" w:rsidR="00000000" w:rsidRPr="00000000">
              <w:rPr>
                <w:b w:val="1"/>
                <w:bCs w:val="1"/>
                <w:rtl w:val="0"/>
              </w:rPr>
              <w:t xml:space="preserve">Entidad solicitante</w:t>
            </w:r>
          </w:p>
        </w:tc>
        <w:tc>
          <w:tcPr>
            <w:tcBorders>
              <w:top w:color="000000" w:space="0" w:sz="0" w:val="nil"/>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Duoc UC San Bernardo</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480" w:lineRule="auto"/>
              <w:rPr>
                <w:b w:val="1"/>
                <w:bCs w:val="1"/>
              </w:rPr>
            </w:pPr>
            <w:r w:rsidDel="00000000" w:rsidR="00000000" w:rsidRPr="00000000">
              <w:rPr>
                <w:b w:val="1"/>
                <w:bCs w:val="1"/>
                <w:rtl w:val="0"/>
              </w:rPr>
              <w:t xml:space="preserve">Metodología</w:t>
            </w:r>
          </w:p>
        </w:tc>
        <w:tc>
          <w:tcPr>
            <w:tcBorders>
              <w:top w:color="000000" w:space="0" w:sz="0" w:val="nil"/>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DSDM (Dynamic Systems Development Method)</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480" w:lineRule="auto"/>
              <w:rPr>
                <w:b w:val="1"/>
                <w:bCs w:val="1"/>
              </w:rPr>
            </w:pPr>
            <w:r w:rsidDel="00000000" w:rsidR="00000000" w:rsidRPr="00000000">
              <w:rPr>
                <w:b w:val="1"/>
                <w:bCs w:val="1"/>
                <w:rtl w:val="0"/>
              </w:rPr>
              <w:t xml:space="preserve">Fase DSDM</w:t>
            </w:r>
          </w:p>
        </w:tc>
        <w:tc>
          <w:tcPr>
            <w:tcBorders>
              <w:top w:color="000000" w:space="0" w:sz="0" w:val="nil"/>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Factibilidad</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480" w:lineRule="auto"/>
              <w:rPr>
                <w:b w:val="1"/>
                <w:bCs w:val="1"/>
              </w:rPr>
            </w:pPr>
            <w:r w:rsidDel="00000000" w:rsidR="00000000" w:rsidRPr="00000000">
              <w:rPr>
                <w:b w:val="1"/>
                <w:bCs w:val="1"/>
                <w:rtl w:val="0"/>
              </w:rPr>
              <w:t xml:space="preserve">Producto responsable</w:t>
            </w:r>
          </w:p>
        </w:tc>
        <w:tc>
          <w:tcPr>
            <w:tcBorders>
              <w:top w:color="000000" w:space="0" w:sz="0" w:val="nil"/>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Project Manager del equipo (elaboración) / Business Sponsor (aprobación)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480" w:lineRule="auto"/>
              <w:rPr>
                <w:b w:val="1"/>
                <w:bCs w:val="1"/>
              </w:rPr>
            </w:pPr>
            <w:r w:rsidDel="00000000" w:rsidR="00000000" w:rsidRPr="00000000">
              <w:rPr>
                <w:b w:val="1"/>
                <w:bCs w:val="1"/>
                <w:rtl w:val="0"/>
              </w:rPr>
              <w:t xml:space="preserve">Fecha</w:t>
            </w:r>
          </w:p>
        </w:tc>
        <w:tc>
          <w:tcPr>
            <w:tcBorders>
              <w:top w:color="000000" w:space="0" w:sz="0" w:val="nil"/>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29-08-2026 (actualizado 02-09-2026)</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480" w:lineRule="auto"/>
              <w:rPr>
                <w:b w:val="1"/>
                <w:bCs w:val="1"/>
              </w:rPr>
            </w:pPr>
            <w:r w:rsidDel="00000000" w:rsidR="00000000" w:rsidRPr="00000000">
              <w:rPr>
                <w:b w:val="1"/>
                <w:bCs w:val="1"/>
                <w:rtl w:val="0"/>
              </w:rPr>
              <w:t xml:space="preserve">Estado</w:t>
            </w:r>
          </w:p>
        </w:tc>
        <w:tc>
          <w:tcPr>
            <w:tcBorders>
              <w:top w:color="000000" w:space="0" w:sz="0" w:val="nil"/>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Borrador — pendientes de negocio y legal abiertos</w:t>
            </w:r>
          </w:p>
        </w:tc>
      </w:tr>
    </w:tbl>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00" w:line="480" w:lineRule="auto"/>
        <w:rPr/>
      </w:pPr>
      <w:r w:rsidDel="00000000" w:rsidR="00000000" w:rsidRPr="00000000">
        <w:rPr>
          <w:rtl w:val="0"/>
        </w:rPr>
        <w:t xml:space="preserve"> </w:t>
      </w:r>
    </w:p>
    <w:p w:rsidR="00000000" w:rsidDel="00000000" w:rsidP="00000000" w:rsidRDefault="00000000" w:rsidRPr="00000000" w14:paraId="000000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480" w:lineRule="auto"/>
        <w:rPr>
          <w:b w:val="1"/>
          <w:bCs w:val="1"/>
          <w:color w:val="1f2a44"/>
          <w:sz w:val="28"/>
          <w:szCs w:val="28"/>
        </w:rPr>
      </w:pPr>
      <w:bookmarkStart w:colFirst="0" w:colLast="0" w:name="_i92ld0bqxbep" w:id="0"/>
      <w:bookmarkEnd w:id="0"/>
      <w:r w:rsidDel="00000000" w:rsidR="00000000" w:rsidRPr="00000000">
        <w:rPr>
          <w:b w:val="1"/>
          <w:bCs w:val="1"/>
          <w:color w:val="1f2a44"/>
          <w:sz w:val="28"/>
          <w:szCs w:val="28"/>
          <w:rtl w:val="0"/>
        </w:rPr>
        <w:t xml:space="preserve">Nota metodológica</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00" w:line="276" w:lineRule="auto"/>
        <w:rPr/>
      </w:pPr>
      <w:r w:rsidDel="00000000" w:rsidR="00000000" w:rsidRPr="00000000">
        <w:rPr>
          <w:rtl w:val="0"/>
        </w:rPr>
        <w:t xml:space="preserve">DSDM define el Feasibility Assessment como un producto hito elaborado por el Project Manager, que entrega una fotografía de las perspectivas de negocio, solución y gestión del proyecto tal como existen al cierre de la fase de Factibilidad, con el fin de decidir si el proyecto es viable antes de comprometer más recursos (Agile Business Consortium, s.f.). El framework no impone un formato único: el producto puede expresarse como una colección de los productos base o como un resumen ejecutivo que cubra los aspectos clave de cada uno (Agile Business Consortium, s.f.). Este documento adopta el segundo enfoque, integrando el análisis TELOS (Técnico, Económico, Legal, Operacional, de Programación) ya realizado para el proyecto bajo las tres perspectivas oficiales de DSDM (Negocio, Solución, Gestión), y cierra con una recomendación explícita de avance, tal como exige el propio producto.</w:t>
      </w:r>
    </w:p>
    <w:p w:rsidR="00000000" w:rsidDel="00000000" w:rsidP="00000000" w:rsidRDefault="00000000" w:rsidRPr="00000000" w14:paraId="0000001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480" w:lineRule="auto"/>
        <w:rPr>
          <w:b w:val="1"/>
          <w:bCs w:val="1"/>
          <w:color w:val="1f2a44"/>
          <w:sz w:val="28"/>
          <w:szCs w:val="28"/>
        </w:rPr>
      </w:pPr>
      <w:bookmarkStart w:colFirst="0" w:colLast="0" w:name="_q4gls2a1si12" w:id="1"/>
      <w:bookmarkEnd w:id="1"/>
      <w:r w:rsidDel="00000000" w:rsidR="00000000" w:rsidRPr="00000000">
        <w:rPr>
          <w:b w:val="1"/>
          <w:bCs w:val="1"/>
          <w:color w:val="1f2a44"/>
          <w:sz w:val="28"/>
          <w:szCs w:val="28"/>
          <w:rtl w:val="0"/>
        </w:rPr>
        <w:t xml:space="preserve">1. Perspectiva de Negocio</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Justificación / valor esperado: </w:t>
      </w:r>
      <w:r w:rsidDel="00000000" w:rsidR="00000000" w:rsidRPr="00000000">
        <w:rPr>
          <w:rtl w:val="0"/>
        </w:rPr>
        <w:t xml:space="preserve">El sistema reemplazará la solución actual, monousuario, por una plataforma multiusuario que unifique el control entre las distintas bodegas y pañoles de Duoc UC San Bernardo. El beneficio esperado se sustenta en la eliminación de las limitaciones del sistema actual: acceso monousuario y falta de trazabilidad unificada entre bodegas y pañoles.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Costo: </w:t>
      </w:r>
      <w:r w:rsidDel="00000000" w:rsidR="00000000" w:rsidRPr="00000000">
        <w:rPr>
          <w:rtl w:val="0"/>
        </w:rPr>
        <w:t xml:space="preserve">El proyecto no cuenta con presupuesto monetario asignado. Todas las herramientas, lenguajes y frameworks considerados son de licencia gratuita/open source. El costo corresponde exclusivamente a las horas de trabajo del equipo (4 integrantes) dentro del calendario académico de 18 semanas.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Problemas de negocio confirmados por el Product Owner: </w:t>
      </w:r>
      <w:r w:rsidDel="00000000" w:rsidR="00000000" w:rsidRPr="00000000">
        <w:rPr>
          <w:rtl w:val="0"/>
        </w:rPr>
        <w:t xml:space="preserve">en la reunión de levantamiento de requerimientos, el Product Owner confirmó de forma cualitativa dos problemas recurrentes del sistema actual: (a) sobrecompra de insumos y materiales por falta de visibilidad del inventario real entre bodegas, y (b) extravío de activos sin poder justificar posteriormente las compras o determinar responsables, por ausencia de trazabilidad. Ambos problemas respaldan directamente la necesidad de negocio del proyecto (visibilidad unificada de inventario y trazabilidad de activos).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Cuantificación del beneficio: </w:t>
      </w:r>
      <w:r w:rsidDel="00000000" w:rsidR="00000000" w:rsidRPr="00000000">
        <w:rPr>
          <w:rtl w:val="0"/>
        </w:rPr>
        <w:t xml:space="preserve">aunque los problemas de negocio ya están confirmados cualitativamente, aún no se cuenta con cifras (montos de sobrecompra, cantidad o valor de activos extraviados, frecuencia de discrepancias) que permitan cuantificar el beneficio esperado en términos monetarios. Se recomienda solicitar al Product Owner registros históricos (guías de compra, inventarios previos, reportes de pérdida) para completar esta estimación antes de cerrar el Business Case.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Viabilidad legal: </w:t>
      </w:r>
      <w:r w:rsidDel="00000000" w:rsidR="00000000" w:rsidRPr="00000000">
        <w:rPr>
          <w:rtl w:val="0"/>
        </w:rPr>
        <w:t xml:space="preserve">No se ha determinado si existen políticas institucionales de Duoc UC sobre manejo de datos de usuarios, activos institucionales o trazabilidad de préstamos que el sistema deba cumplir. Este punto debe resolverse antes de cerrar el diseño de datos, dado que el sistema registrará información de usuarios (responsables de préstamos) y de activos institucionales.</w:t>
      </w:r>
    </w:p>
    <w:p w:rsidR="00000000" w:rsidDel="00000000" w:rsidP="00000000" w:rsidRDefault="00000000" w:rsidRPr="00000000" w14:paraId="0000001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480" w:lineRule="auto"/>
        <w:rPr>
          <w:b w:val="1"/>
          <w:bCs w:val="1"/>
          <w:color w:val="1f2a44"/>
          <w:sz w:val="28"/>
          <w:szCs w:val="28"/>
        </w:rPr>
      </w:pPr>
      <w:bookmarkStart w:colFirst="0" w:colLast="0" w:name="_ht2oowswphyp" w:id="2"/>
      <w:bookmarkEnd w:id="2"/>
      <w:r w:rsidDel="00000000" w:rsidR="00000000" w:rsidRPr="00000000">
        <w:rPr>
          <w:b w:val="1"/>
          <w:bCs w:val="1"/>
          <w:color w:val="1f2a44"/>
          <w:sz w:val="28"/>
          <w:szCs w:val="28"/>
          <w:rtl w:val="0"/>
        </w:rPr>
        <w:t xml:space="preserve">2. Perspectiva de Solución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Alcance de solución confirmado: </w:t>
      </w:r>
      <w:r w:rsidDel="00000000" w:rsidR="00000000" w:rsidRPr="00000000">
        <w:rPr>
          <w:rtl w:val="0"/>
        </w:rPr>
        <w:t xml:space="preserve">el proyecto es de desarrollo de software únicamente. El registro de ubicación de activos se realiza a nivel de datos, sin integración de hardware de geolocalización (RFID, GPS o beacons) en esta etapa del proyecto.</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Competencias del equipo: </w:t>
      </w:r>
      <w:r w:rsidDel="00000000" w:rsidR="00000000" w:rsidRPr="00000000">
        <w:rPr>
          <w:rtl w:val="0"/>
        </w:rPr>
        <w:t xml:space="preserve">el equipo cuenta con conocimientos en Java y Python, y con JavaScript, HTML y CSS a nivel general. El manejo de un framework de frontend tipo SPA (Angular) estaba concentrado en un único integrante. Esta asimetría de competencias fue un riesgo relevante para la arquitectura, ya resuelto en el Development Approach Definition (ver fila correspondiente en la tabla de riesgos).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Stack tecnológico: </w:t>
      </w:r>
      <w:r w:rsidDel="00000000" w:rsidR="00000000" w:rsidRPr="00000000">
        <w:rPr>
          <w:rtl w:val="0"/>
        </w:rPr>
        <w:t xml:space="preserve">decidido y documentado en "Definición de Tecnologías a Utilizar" (Development Approach Definition, fase Fundamentos). Backend en Django (Python) sobre PostgreSQL, con Docker para contenerización, y Celery + Redis para procesamiento en segundo plano. Frontend en HTML/CSS/JavaScript sin framework SPA, eliminando la dependencia de Angular evaluada originalmente en esta fase.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Migración de datos: </w:t>
      </w:r>
      <w:r w:rsidDel="00000000" w:rsidR="00000000" w:rsidRPr="00000000">
        <w:rPr>
          <w:rtl w:val="0"/>
        </w:rPr>
        <w:t xml:space="preserve">no existen datos a migrar.</w:t>
      </w:r>
    </w:p>
    <w:p w:rsidR="00000000" w:rsidDel="00000000" w:rsidP="00000000" w:rsidRDefault="00000000" w:rsidRPr="00000000" w14:paraId="0000001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480" w:lineRule="auto"/>
        <w:rPr>
          <w:b w:val="1"/>
          <w:bCs w:val="1"/>
          <w:color w:val="1f2a44"/>
          <w:sz w:val="28"/>
          <w:szCs w:val="28"/>
        </w:rPr>
      </w:pPr>
      <w:bookmarkStart w:colFirst="0" w:colLast="0" w:name="_3lww3hbjzo64" w:id="3"/>
      <w:bookmarkEnd w:id="3"/>
      <w:r w:rsidDel="00000000" w:rsidR="00000000" w:rsidRPr="00000000">
        <w:rPr>
          <w:b w:val="1"/>
          <w:bCs w:val="1"/>
          <w:color w:val="1f2a44"/>
          <w:sz w:val="28"/>
          <w:szCs w:val="28"/>
          <w:rtl w:val="0"/>
        </w:rPr>
        <w:t xml:space="preserve">3. Perspectiva de Gestión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Restricción de calendario: </w:t>
      </w:r>
      <w:r w:rsidDel="00000000" w:rsidR="00000000" w:rsidRPr="00000000">
        <w:rPr>
          <w:rtl w:val="0"/>
        </w:rPr>
        <w:t xml:space="preserve">el desarrollo se enmarca en un calendario académico fijo de 18 semanas (Carta Gantt 2025-2), con hitos que no pueden posponerse: Evaluación Parcial 1 (semana 5), MVP parcial (semana 7), Evaluación Parcial 2 (semana 10), UAT (semana 13), Evaluación Parcial 3 (semana 17) y Demo Day (semana 18).</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Equipo: </w:t>
      </w:r>
      <w:r w:rsidDel="00000000" w:rsidR="00000000" w:rsidRPr="00000000">
        <w:rPr>
          <w:rtl w:val="0"/>
        </w:rPr>
        <w:t xml:space="preserve">4 integrantes.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Mecanismo de control del alcance: </w:t>
      </w:r>
      <w:r w:rsidDel="00000000" w:rsidR="00000000" w:rsidRPr="00000000">
        <w:rPr>
          <w:rtl w:val="0"/>
        </w:rPr>
        <w:t xml:space="preserve">bajo DSDM, esta restricción de tiempo fijo se gestiona dejando el alcance funcional como variable de ajuste mediante MoSCoW, priorizando los requerimientos Must Have por sobre los Could Have ante cualquier atraso, en lugar de comprometer la fecha de entrega (Agile Business Consortium, s.f.).</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Capacitación de usuarios: </w:t>
      </w:r>
      <w:r w:rsidDel="00000000" w:rsidR="00000000" w:rsidRPr="00000000">
        <w:rPr>
          <w:rtl w:val="0"/>
        </w:rPr>
        <w:t xml:space="preserve">se contempla una etapa de capacitación a los usuarios finales (personal de bodegas y pañoles), lo que favorece la adopción del sistema.</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Sostenibilidad post-proyecto: </w:t>
      </w:r>
      <w:r w:rsidDel="00000000" w:rsidR="00000000" w:rsidRPr="00000000">
        <w:rPr>
          <w:rtl w:val="0"/>
        </w:rPr>
        <w:t xml:space="preserve">No se ha definido quién quedará a cargo de la mantención y operación del sistema una vez finalizado el proyecto de título (después del Demo Day, semana 18), dado que el equipo de desarrollo no continuará disponible de forma permanente. Este punto condiciona la sostenibilidad del sistema y debe resolverse con la entidad solicitante.</w:t>
      </w:r>
    </w:p>
    <w:p w:rsidR="00000000" w:rsidDel="00000000" w:rsidP="00000000" w:rsidRDefault="00000000" w:rsidRPr="00000000" w14:paraId="0000002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480" w:lineRule="auto"/>
        <w:rPr>
          <w:b w:val="1"/>
          <w:bCs w:val="1"/>
          <w:color w:val="1f2a44"/>
          <w:sz w:val="28"/>
          <w:szCs w:val="28"/>
        </w:rPr>
      </w:pPr>
      <w:bookmarkStart w:colFirst="0" w:colLast="0" w:name="_zf7ix8h9fp1q" w:id="4"/>
      <w:bookmarkEnd w:id="4"/>
      <w:r w:rsidDel="00000000" w:rsidR="00000000" w:rsidRPr="00000000">
        <w:rPr>
          <w:b w:val="1"/>
          <w:bCs w:val="1"/>
          <w:color w:val="1f2a44"/>
          <w:sz w:val="28"/>
          <w:szCs w:val="28"/>
          <w:rtl w:val="0"/>
        </w:rPr>
        <w:t xml:space="preserve">4. Riesgos identificados en esta fase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7.490296107353"/>
        <w:gridCol w:w="1666.682932239104"/>
        <w:gridCol w:w="4011.3385826771664"/>
        <w:tblGridChange w:id="0">
          <w:tblGrid>
            <w:gridCol w:w="3347.490296107353"/>
            <w:gridCol w:w="1666.682932239104"/>
            <w:gridCol w:w="4011.3385826771664"/>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1f2a44" w:val="clear"/>
            <w:tcMar>
              <w:top w:w="100.0" w:type="dxa"/>
              <w:left w:w="120.0" w:type="dxa"/>
              <w:bottom w:w="100.0" w:type="dxa"/>
              <w:right w:w="12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480" w:lineRule="auto"/>
              <w:rPr>
                <w:b w:val="1"/>
                <w:bCs w:val="1"/>
                <w:color w:val="ffffff"/>
              </w:rPr>
            </w:pPr>
            <w:r w:rsidDel="00000000" w:rsidR="00000000" w:rsidRPr="00000000">
              <w:rPr>
                <w:b w:val="1"/>
                <w:bCs w:val="1"/>
                <w:color w:val="ffffff"/>
                <w:rtl w:val="0"/>
              </w:rPr>
              <w:t xml:space="preserve">Riesgo</w:t>
            </w:r>
          </w:p>
        </w:tc>
        <w:tc>
          <w:tcPr>
            <w:tcBorders>
              <w:top w:color="000000" w:space="0" w:sz="7" w:val="single"/>
              <w:left w:color="000000" w:space="0" w:sz="0" w:val="nil"/>
              <w:bottom w:color="000000" w:space="0" w:sz="7" w:val="single"/>
              <w:right w:color="000000" w:space="0" w:sz="7" w:val="single"/>
            </w:tcBorders>
            <w:shd w:fill="1f2a44" w:val="clear"/>
            <w:tcMar>
              <w:top w:w="100.0" w:type="dxa"/>
              <w:left w:w="120.0" w:type="dxa"/>
              <w:bottom w:w="100.0" w:type="dxa"/>
              <w:right w:w="12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480" w:lineRule="auto"/>
              <w:rPr>
                <w:b w:val="1"/>
                <w:bCs w:val="1"/>
                <w:color w:val="ffffff"/>
              </w:rPr>
            </w:pPr>
            <w:r w:rsidDel="00000000" w:rsidR="00000000" w:rsidRPr="00000000">
              <w:rPr>
                <w:b w:val="1"/>
                <w:bCs w:val="1"/>
                <w:color w:val="ffffff"/>
                <w:rtl w:val="0"/>
              </w:rPr>
              <w:t xml:space="preserve">Perspectiva</w:t>
            </w:r>
          </w:p>
        </w:tc>
        <w:tc>
          <w:tcPr>
            <w:tcBorders>
              <w:top w:color="000000" w:space="0" w:sz="7" w:val="single"/>
              <w:left w:color="000000" w:space="0" w:sz="0" w:val="nil"/>
              <w:bottom w:color="000000" w:space="0" w:sz="7" w:val="single"/>
              <w:right w:color="000000" w:space="0" w:sz="7" w:val="single"/>
            </w:tcBorders>
            <w:shd w:fill="1f2a44" w:val="clear"/>
            <w:tcMar>
              <w:top w:w="100.0" w:type="dxa"/>
              <w:left w:w="120.0" w:type="dxa"/>
              <w:bottom w:w="100.0" w:type="dxa"/>
              <w:right w:w="12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480" w:lineRule="auto"/>
              <w:rPr>
                <w:b w:val="1"/>
                <w:bCs w:val="1"/>
                <w:color w:val="ffffff"/>
              </w:rPr>
            </w:pPr>
            <w:r w:rsidDel="00000000" w:rsidR="00000000" w:rsidRPr="00000000">
              <w:rPr>
                <w:b w:val="1"/>
                <w:bCs w:val="1"/>
                <w:color w:val="ffffff"/>
                <w:rtl w:val="0"/>
              </w:rPr>
              <w:t xml:space="preserve">Estado</w:t>
            </w:r>
          </w:p>
        </w:tc>
      </w:tr>
      <w:tr>
        <w:trPr>
          <w:cantSplit w:val="0"/>
          <w:trHeight w:val="1710" w:hRule="atLeast"/>
          <w:tblHeader w:val="0"/>
        </w:trPr>
        <w:tc>
          <w:tcPr>
            <w:tcBorders>
              <w:top w:color="000000" w:space="0" w:sz="0" w:val="nil"/>
              <w:left w:color="000000" w:space="0" w:sz="7" w:val="single"/>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Asimetría de competencias de frontend concentrada en un integrante</w:t>
            </w:r>
          </w:p>
        </w:tc>
        <w:tc>
          <w:tcPr>
            <w:tcBorders>
              <w:top w:color="000000" w:space="0" w:sz="0" w:val="nil"/>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Solución</w:t>
            </w:r>
          </w:p>
        </w:tc>
        <w:tc>
          <w:tcPr>
            <w:tcBorders>
              <w:top w:color="000000" w:space="0" w:sz="0" w:val="nil"/>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b w:val="1"/>
                <w:bCs w:val="1"/>
                <w:color w:val="2f6b3a"/>
                <w:rtl w:val="0"/>
              </w:rPr>
              <w:t xml:space="preserve">Mitigado — </w:t>
            </w:r>
            <w:r w:rsidDel="00000000" w:rsidR="00000000" w:rsidRPr="00000000">
              <w:rPr>
                <w:rtl w:val="0"/>
              </w:rPr>
              <w:t xml:space="preserve">resuelto en el Development Approach Definition: frontend definido en HTML/CSS/JS plano (sin framework SPA), eliminando la dependencia del único integrante con manejo de Angular. Ver "Definición de Tecnologías a Utilizar".</w:t>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Ausencia de cifras concretas para cuantificar el beneficio (problema ya confirmado cualitativamente por el PO)</w:t>
            </w:r>
          </w:p>
        </w:tc>
        <w:tc>
          <w:tcPr>
            <w:tcBorders>
              <w:top w:color="000000" w:space="0" w:sz="0" w:val="nil"/>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Negocio</w:t>
            </w:r>
          </w:p>
        </w:tc>
        <w:tc>
          <w:tcPr>
            <w:tcBorders>
              <w:top w:color="000000" w:space="0" w:sz="0" w:val="nil"/>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b w:val="1"/>
                <w:bCs w:val="1"/>
                <w:color w:val="8a5a00"/>
                <w:rtl w:val="0"/>
              </w:rPr>
              <w:t xml:space="preserve">Abierto — </w:t>
            </w:r>
            <w:r w:rsidDel="00000000" w:rsidR="00000000" w:rsidRPr="00000000">
              <w:rPr>
                <w:rtl w:val="0"/>
              </w:rPr>
              <w:t xml:space="preserve">solicitar registros históricos de compras/pérdidas al PO.</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Incertidumbre sobre políticas institucionales de datos (Duoc UC)</w:t>
            </w:r>
          </w:p>
        </w:tc>
        <w:tc>
          <w:tcPr>
            <w:tcBorders>
              <w:top w:color="000000" w:space="0" w:sz="0" w:val="nil"/>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Negocio</w:t>
            </w:r>
          </w:p>
        </w:tc>
        <w:tc>
          <w:tcPr>
            <w:tcBorders>
              <w:top w:color="000000" w:space="0" w:sz="0" w:val="nil"/>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b w:val="1"/>
                <w:bCs w:val="1"/>
                <w:color w:val="8a5a00"/>
                <w:rtl w:val="0"/>
              </w:rPr>
              <w:t xml:space="preserve">Abierto — </w:t>
            </w:r>
            <w:r w:rsidDel="00000000" w:rsidR="00000000" w:rsidRPr="00000000">
              <w:rPr>
                <w:rtl w:val="0"/>
              </w:rPr>
              <w:t xml:space="preserve">pendiente de confirmar con PO.</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Calendario académico fijo sin margen de extensión</w:t>
            </w:r>
          </w:p>
        </w:tc>
        <w:tc>
          <w:tcPr>
            <w:tcBorders>
              <w:top w:color="000000" w:space="0" w:sz="0" w:val="nil"/>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rtl w:val="0"/>
              </w:rPr>
              <w:t xml:space="preserve">Gestión</w:t>
            </w:r>
          </w:p>
        </w:tc>
        <w:tc>
          <w:tcPr>
            <w:tcBorders>
              <w:top w:color="000000" w:space="0" w:sz="0" w:val="nil"/>
              <w:left w:color="000000" w:space="0" w:sz="0" w:val="nil"/>
              <w:bottom w:color="000000" w:space="0" w:sz="7" w:val="single"/>
              <w:right w:color="000000" w:space="0" w:sz="7" w:val="single"/>
            </w:tcBorders>
            <w:tcMar>
              <w:top w:w="100.0" w:type="dxa"/>
              <w:left w:w="120.0" w:type="dxa"/>
              <w:bottom w:w="100.0" w:type="dxa"/>
              <w:right w:w="12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480" w:lineRule="auto"/>
              <w:rPr/>
            </w:pPr>
            <w:r w:rsidDel="00000000" w:rsidR="00000000" w:rsidRPr="00000000">
              <w:rPr>
                <w:b w:val="1"/>
                <w:bCs w:val="1"/>
                <w:color w:val="2f6b3a"/>
                <w:rtl w:val="0"/>
              </w:rPr>
              <w:t xml:space="preserve">Gestionado — </w:t>
            </w:r>
            <w:r w:rsidDel="00000000" w:rsidR="00000000" w:rsidRPr="00000000">
              <w:rPr>
                <w:rtl w:val="0"/>
              </w:rPr>
              <w:t xml:space="preserve">vía MoSCoW (mecanismo ya definido).</w:t>
            </w:r>
          </w:p>
        </w:tc>
      </w:tr>
    </w:tbl>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00" w:line="480" w:lineRule="auto"/>
        <w:rPr/>
      </w:pPr>
      <w:r w:rsidDel="00000000" w:rsidR="00000000" w:rsidRPr="00000000">
        <w:rPr>
          <w:rtl w:val="0"/>
        </w:rPr>
        <w:t xml:space="preserve"> </w:t>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480" w:lineRule="auto"/>
        <w:rPr>
          <w:b w:val="1"/>
          <w:bCs w:val="1"/>
          <w:color w:val="1f2a44"/>
          <w:sz w:val="28"/>
          <w:szCs w:val="28"/>
        </w:rPr>
      </w:pPr>
      <w:bookmarkStart w:colFirst="0" w:colLast="0" w:name="_9a2pfto1hdd" w:id="5"/>
      <w:bookmarkEnd w:id="5"/>
      <w:r w:rsidDel="00000000" w:rsidR="00000000" w:rsidRPr="00000000">
        <w:rPr>
          <w:b w:val="1"/>
          <w:bCs w:val="1"/>
          <w:color w:val="1f2a44"/>
          <w:sz w:val="28"/>
          <w:szCs w:val="28"/>
          <w:rtl w:val="0"/>
        </w:rPr>
        <w:t xml:space="preserve">5. Recomendación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b w:val="1"/>
          <w:bCs w:val="1"/>
          <w:rtl w:val="0"/>
        </w:rPr>
        <w:t xml:space="preserve">Decisión propuesta: </w:t>
      </w:r>
      <w:r w:rsidDel="00000000" w:rsidR="00000000" w:rsidRPr="00000000">
        <w:rPr>
          <w:rtl w:val="0"/>
        </w:rPr>
        <w:t xml:space="preserve">Go condicionado.</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60" w:line="276" w:lineRule="auto"/>
        <w:rPr/>
      </w:pPr>
      <w:r w:rsidDel="00000000" w:rsidR="00000000" w:rsidRPr="00000000">
        <w:rPr>
          <w:rtl w:val="0"/>
        </w:rPr>
        <w:t xml:space="preserve">El proyecto es factible en términos operativos, de programación y de arquitectura de solución, siempre que la asignación de tiempo del equipo se gestione activamente para no comprometer los hitos fijos del calendario. Se recomienda avanzar en la fase de Fundamentos, sujeto a resolver los siguientes puntos antes de cerrar el Foundation Summary:</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20" w:line="276"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Obtención de cifras históricas (compras, pérdidas, discrepancias) para cuantificar en términos monetarios los problemas de negocio ya confirmados cualitativamente (perspectiva de Negocio).</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20" w:line="276" w:lineRule="auto"/>
        <w:ind w:left="7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Confirmación de políticas institucionales de datos aplicables (perspectiva de Negocio / Legal).</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before="120" w:line="276" w:lineRule="auto"/>
        <w:rPr>
          <w:i w:val="1"/>
          <w:iCs w:val="1"/>
        </w:rPr>
      </w:pPr>
      <w:r w:rsidDel="00000000" w:rsidR="00000000" w:rsidRPr="00000000">
        <w:rPr>
          <w:i w:val="1"/>
          <w:iCs w:val="1"/>
          <w:rtl w:val="0"/>
        </w:rPr>
        <w:t xml:space="preserve">El punto de arquitectura de solución (stack tecnológico y asimetría de competencias frontend), abierto al cierre original de esta fase, ya fue resuelto en Fundamentos mediante el Development Approach Definition y no condiciona el avance del proyecto.</w:t>
      </w:r>
    </w:p>
    <w:p w:rsidR="00000000" w:rsidDel="00000000" w:rsidP="00000000" w:rsidRDefault="00000000" w:rsidRPr="00000000" w14:paraId="0000003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480" w:lineRule="auto"/>
        <w:rPr>
          <w:b w:val="1"/>
          <w:bCs w:val="1"/>
          <w:color w:val="1f2a44"/>
          <w:sz w:val="28"/>
          <w:szCs w:val="28"/>
        </w:rPr>
      </w:pPr>
      <w:bookmarkStart w:colFirst="0" w:colLast="0" w:name="_u0mfg8sljdg6" w:id="6"/>
      <w:bookmarkEnd w:id="6"/>
      <w:r w:rsidDel="00000000" w:rsidR="00000000" w:rsidRPr="00000000">
        <w:rPr>
          <w:b w:val="1"/>
          <w:bCs w:val="1"/>
          <w:color w:val="1f2a44"/>
          <w:sz w:val="28"/>
          <w:szCs w:val="28"/>
          <w:rtl w:val="0"/>
        </w:rPr>
        <w:t xml:space="preserve">Referencias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40" w:line="276" w:lineRule="auto"/>
        <w:rPr>
          <w:color w:val="1155cc"/>
          <w:u w:val="single"/>
        </w:rPr>
      </w:pPr>
      <w:r w:rsidDel="00000000" w:rsidR="00000000" w:rsidRPr="00000000">
        <w:rPr>
          <w:rtl w:val="0"/>
        </w:rPr>
        <w:t xml:space="preserve">Agile Business Consortium. (s.f.). </w:t>
      </w:r>
      <w:r w:rsidDel="00000000" w:rsidR="00000000" w:rsidRPr="00000000">
        <w:rPr>
          <w:i w:val="1"/>
          <w:iCs w:val="1"/>
          <w:rtl w:val="0"/>
        </w:rPr>
        <w:t xml:space="preserve">Chapter 3: Philosophy and fundamentals</w:t>
      </w:r>
      <w:r w:rsidDel="00000000" w:rsidR="00000000" w:rsidRPr="00000000">
        <w:rPr>
          <w:rtl w:val="0"/>
        </w:rPr>
        <w:t xml:space="preserve">. En </w:t>
      </w:r>
      <w:r w:rsidDel="00000000" w:rsidR="00000000" w:rsidRPr="00000000">
        <w:rPr>
          <w:i w:val="1"/>
          <w:iCs w:val="1"/>
          <w:rtl w:val="0"/>
        </w:rPr>
        <w:t xml:space="preserve">DSDM Agile Project Framework Handbook</w:t>
      </w:r>
      <w:r w:rsidDel="00000000" w:rsidR="00000000" w:rsidRPr="00000000">
        <w:rPr>
          <w:rtl w:val="0"/>
        </w:rPr>
        <w:t xml:space="preserve">. Recuperado el 2 de septiembre de 2026, de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https://www.agilebusiness.org/wp-content/uploads/2026/05/DSDM-Agile-Project-Framework-Handbook.pdf</w:t>
        </w:r>
      </w:hyperlink>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480" w:lineRule="auto"/>
        <w:ind w:left="720"/>
        <w:rPr>
          <w:b w:val="1"/>
          <w:bCs w:val="1"/>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b w:val="1"/>
          <w:bCs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gilebusiness.org/wp-content/uploads/2026/05/DSDM-Agile-Project-Framework-Handbook.pdf" TargetMode="External"/><Relationship Id="rId8" Type="http://schemas.openxmlformats.org/officeDocument/2006/relationships/hyperlink" Target="https://www.agilebusiness.org/wp-content/uploads/2026/05/DSDM-Agile-Project-Framework-Handboo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Title>3: Philosophy and Fundamentals</b:Title>
    <b:URL>https://www.agilebusiness.org/wp-content/uploads/2026/05/DSDM-Agile-Project-Framework-Handbook.pdf</b:URL>
    <b:InternetSiteTitle>DSDM Agile Project Framework Handbook</b:InternetSiteTitle>
    <b:Gdcea>{"AccessedType":"Website"}</b:Gdcea>
    <b:Author>
      <b:Author>
        <b:Corporate>Agile Business Consortium</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