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Benefits Assessment (plan y línea base) — Control de Pañol</w:t>
      </w:r>
    </w:p>
    <w:p>
      <w:pPr/>
      <w:r>
        <w:t>Oct 15, 2026 · Iván Peña</w:t>
      </w:r>
    </w:p>
    <w:p>
      <w:pPr/>
      <w:r>
        <w:t>Se entregan el plan de medición y la línea base. Los resultados reales no aplican aún: requieren operación real después del Demo Day.</w:t>
      </w:r>
    </w:p>
    <w:p>
      <w:pPr>
        <w:pStyle w:val="Heading3"/>
      </w:pPr>
      <w:r>
        <w:t>Beneficios esperados e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500"/>
        <w:gridCol w:w="1800"/>
        <w:gridCol w:w="1800"/>
        <w:gridCol w:w="1560"/>
        <w:gridCol w:w="1700"/>
        <w:gridCol w:w="1000"/>
      </w:tblGrid>
      <w:tr>
        <w:trPr>
          <w:cantSplit/>
          <w:tblHeader/>
        </w:trPr>
        <w:tc>
          <w:tcPr>
            <w:tcW w:type="dxa" w:w="1500"/>
            <w:shd w:val="clear" w:color="auto" w:fill="F2F2F2"/>
          </w:tcPr>
          <w:p>
            <w:r/>
            <w:r>
              <w:t>Beneficio esperado</w:t>
            </w:r>
          </w:p>
        </w:tc>
        <w:tc>
          <w:tcPr>
            <w:tcW w:type="dxa" w:w="1800"/>
            <w:shd w:val="clear" w:color="auto" w:fill="F2F2F2"/>
          </w:tcPr>
          <w:p>
            <w:r/>
            <w:r>
              <w:t>Indicador</w:t>
            </w:r>
          </w:p>
        </w:tc>
        <w:tc>
          <w:tcPr>
            <w:tcW w:type="dxa" w:w="1800"/>
            <w:shd w:val="clear" w:color="auto" w:fill="F2F2F2"/>
          </w:tcPr>
          <w:p>
            <w:r/>
            <w:r>
              <w:t>Fórmula</w:t>
            </w:r>
          </w:p>
        </w:tc>
        <w:tc>
          <w:tcPr>
            <w:tcW w:type="dxa" w:w="1560"/>
            <w:shd w:val="clear" w:color="auto" w:fill="F2F2F2"/>
          </w:tcPr>
          <w:p>
            <w:r/>
            <w:r>
              <w:t>Fuente en el sistema</w:t>
            </w:r>
          </w:p>
        </w:tc>
        <w:tc>
          <w:tcPr>
            <w:tcW w:type="dxa" w:w="1700"/>
            <w:shd w:val="clear" w:color="auto" w:fill="F2F2F2"/>
          </w:tcPr>
          <w:p>
            <w:r/>
            <w:r>
              <w:t>Línea base</w:t>
            </w:r>
          </w:p>
        </w:tc>
        <w:tc>
          <w:tcPr>
            <w:tcW w:type="dxa" w:w="1000"/>
            <w:shd w:val="clear" w:color="auto" w:fill="F2F2F2"/>
          </w:tcPr>
          <w:p>
            <w:r/>
            <w:r>
              <w:t>Meta</w:t>
            </w:r>
          </w:p>
        </w:tc>
      </w:tr>
      <w:tr>
        <w:trPr>
          <w:cantSplit/>
        </w:trPr>
        <w:tc>
          <w:tcPr>
            <w:tcW w:type="dxa" w:w="1500"/>
          </w:tcPr>
          <w:p>
            <w:r/>
            <w:r>
              <w:t>Trazabilidad de préstamos</w:t>
            </w:r>
          </w:p>
        </w:tc>
        <w:tc>
          <w:tcPr>
            <w:tcW w:type="dxa" w:w="1800"/>
          </w:tcPr>
          <w:p>
            <w:r/>
            <w:r>
              <w:t>% de préstamos con responsable, fecha y estado de devolución</w:t>
            </w:r>
          </w:p>
        </w:tc>
        <w:tc>
          <w:tcPr>
            <w:tcW w:type="dxa" w:w="1800"/>
          </w:tcPr>
          <w:p>
            <w:r/>
            <w:r>
              <w:t>Préstamos con los tres datos ÷ total × 100</w:t>
            </w:r>
          </w:p>
        </w:tc>
        <w:tc>
          <w:tcPr>
            <w:tcW w:type="dxa" w:w="1560"/>
          </w:tcPr>
          <w:p>
            <w:r/>
            <w:r>
              <w:t>Historial de préstamos</w:t>
            </w:r>
          </w:p>
        </w:tc>
        <w:tc>
          <w:tcPr>
            <w:tcW w:type="dxa" w:w="1700"/>
          </w:tcPr>
          <w:p>
            <w:r/>
            <w:r>
              <w:t>Por completar: hoy es manual y por WhatsApp</w:t>
            </w:r>
          </w:p>
        </w:tc>
        <w:tc>
          <w:tcPr>
            <w:tcW w:type="dxa" w:w="1000"/>
          </w:tcPr>
          <w:p>
            <w:r/>
            <w:r>
              <w:t>Por acordar</w:t>
            </w:r>
          </w:p>
        </w:tc>
      </w:tr>
      <w:tr>
        <w:trPr>
          <w:cantSplit/>
        </w:trPr>
        <w:tc>
          <w:tcPr>
            <w:tcW w:type="dxa" w:w="1500"/>
          </w:tcPr>
          <w:p>
            <w:r/>
            <w:r>
              <w:t>Menos pérdidas y daños</w:t>
            </w:r>
          </w:p>
        </w:tc>
        <w:tc>
          <w:tcPr>
            <w:tcW w:type="dxa" w:w="1800"/>
          </w:tcPr>
          <w:p>
            <w:r/>
            <w:r>
              <w:t>Activos perdidos o dañados por semestre</w:t>
            </w:r>
          </w:p>
        </w:tc>
        <w:tc>
          <w:tcPr>
            <w:tcW w:type="dxa" w:w="1800"/>
          </w:tcPr>
          <w:p>
            <w:r/>
            <w:r>
              <w:t>Conteo de activos en esos estados en el semestre</w:t>
            </w:r>
          </w:p>
        </w:tc>
        <w:tc>
          <w:tcPr>
            <w:tcW w:type="dxa" w:w="1560"/>
          </w:tcPr>
          <w:p>
            <w:r/>
            <w:r>
              <w:t>Historial de estados del activo</w:t>
            </w:r>
          </w:p>
        </w:tc>
        <w:tc>
          <w:tcPr>
            <w:tcW w:type="dxa" w:w="1700"/>
          </w:tcPr>
          <w:p>
            <w:r/>
            <w:r>
              <w:t>Por completar: dato de pañol</w:t>
            </w:r>
          </w:p>
        </w:tc>
        <w:tc>
          <w:tcPr>
            <w:tcW w:type="dxa" w:w="1000"/>
          </w:tcPr>
          <w:p>
            <w:r/>
            <w:r>
              <w:t>Por acordar</w:t>
            </w:r>
          </w:p>
        </w:tc>
      </w:tr>
      <w:tr>
        <w:trPr>
          <w:cantSplit/>
        </w:trPr>
        <w:tc>
          <w:tcPr>
            <w:tcW w:type="dxa" w:w="1500"/>
          </w:tcPr>
          <w:p>
            <w:r/>
            <w:r>
              <w:t>Préstamos recuperados</w:t>
            </w:r>
          </w:p>
        </w:tc>
        <w:tc>
          <w:tcPr>
            <w:tcW w:type="dxa" w:w="1800"/>
          </w:tcPr>
          <w:p>
            <w:r/>
            <w:r>
              <w:t>Préstamos sin devolución verificada al cierre del semestre</w:t>
            </w:r>
          </w:p>
        </w:tc>
        <w:tc>
          <w:tcPr>
            <w:tcW w:type="dxa" w:w="1800"/>
          </w:tcPr>
          <w:p>
            <w:r/>
            <w:r>
              <w:t>Conteo de préstamos abiertos al cierre</w:t>
            </w:r>
          </w:p>
        </w:tc>
        <w:tc>
          <w:tcPr>
            <w:tcW w:type="dxa" w:w="1560"/>
          </w:tcPr>
          <w:p>
            <w:r/>
            <w:r>
              <w:t>Módulo de préstamos</w:t>
            </w:r>
          </w:p>
        </w:tc>
        <w:tc>
          <w:tcPr>
            <w:tcW w:type="dxa" w:w="1700"/>
          </w:tcPr>
          <w:p>
            <w:r/>
            <w:r>
              <w:t>Por completar: dato de pañol</w:t>
            </w:r>
          </w:p>
        </w:tc>
        <w:tc>
          <w:tcPr>
            <w:tcW w:type="dxa" w:w="1000"/>
          </w:tcPr>
          <w:p>
            <w:r/>
            <w:r>
              <w:t>Por acordar</w:t>
            </w:r>
          </w:p>
        </w:tc>
      </w:tr>
      <w:tr>
        <w:trPr>
          <w:cantSplit/>
        </w:trPr>
        <w:tc>
          <w:tcPr>
            <w:tcW w:type="dxa" w:w="1500"/>
          </w:tcPr>
          <w:p>
            <w:r/>
            <w:r>
              <w:t>Menos tiempo de registro</w:t>
            </w:r>
          </w:p>
        </w:tc>
        <w:tc>
          <w:tcPr>
            <w:tcW w:type="dxa" w:w="1800"/>
          </w:tcPr>
          <w:p>
            <w:r/>
            <w:r>
              <w:t>Horas semanales de registro manual</w:t>
            </w:r>
          </w:p>
        </w:tc>
        <w:tc>
          <w:tcPr>
            <w:tcW w:type="dxa" w:w="1800"/>
          </w:tcPr>
          <w:p>
            <w:r/>
            <w:r>
              <w:t>Horas por semana antes y después</w:t>
            </w:r>
          </w:p>
        </w:tc>
        <w:tc>
          <w:tcPr>
            <w:tcW w:type="dxa" w:w="1560"/>
          </w:tcPr>
          <w:p>
            <w:r/>
            <w:r>
              <w:t>No lo mide el sistema: estimación de encargados</w:t>
            </w:r>
          </w:p>
        </w:tc>
        <w:tc>
          <w:tcPr>
            <w:tcW w:type="dxa" w:w="1700"/>
          </w:tcPr>
          <w:p>
            <w:r/>
            <w:r>
              <w:t>Por completar: dato de pañol</w:t>
            </w:r>
          </w:p>
        </w:tc>
        <w:tc>
          <w:tcPr>
            <w:tcW w:type="dxa" w:w="1000"/>
          </w:tcPr>
          <w:p>
            <w:r/>
            <w:r>
              <w:t>Por acordar</w:t>
            </w:r>
          </w:p>
        </w:tc>
      </w:tr>
      <w:tr>
        <w:trPr>
          <w:cantSplit/>
        </w:trPr>
        <w:tc>
          <w:tcPr>
            <w:tcW w:type="dxa" w:w="1500"/>
          </w:tcPr>
          <w:p>
            <w:r/>
            <w:r>
              <w:t>Compras de fungibles respaldadas</w:t>
            </w:r>
          </w:p>
        </w:tc>
        <w:tc>
          <w:tcPr>
            <w:tcW w:type="dxa" w:w="1800"/>
          </w:tcPr>
          <w:p>
            <w:r/>
            <w:r>
              <w:t>% de compras con movimiento de stock que las justifique</w:t>
            </w:r>
          </w:p>
        </w:tc>
        <w:tc>
          <w:tcPr>
            <w:tcW w:type="dxa" w:w="1800"/>
          </w:tcPr>
          <w:p>
            <w:r/>
            <w:r>
              <w:t>Compras con respaldo ÷ compras totales × 100</w:t>
            </w:r>
          </w:p>
        </w:tc>
        <w:tc>
          <w:tcPr>
            <w:tcW w:type="dxa" w:w="1560"/>
          </w:tcPr>
          <w:p>
            <w:r/>
            <w:r>
              <w:t>Bitácora de movimientos de fungibles</w:t>
            </w:r>
          </w:p>
        </w:tc>
        <w:tc>
          <w:tcPr>
            <w:tcW w:type="dxa" w:w="1700"/>
          </w:tcPr>
          <w:p>
            <w:r/>
            <w:r>
              <w:t>Por completar: hoy sin registro</w:t>
            </w:r>
          </w:p>
        </w:tc>
        <w:tc>
          <w:tcPr>
            <w:tcW w:type="dxa" w:w="1000"/>
          </w:tcPr>
          <w:p>
            <w:r/>
            <w:r>
              <w:t>Por acordar</w:t>
            </w:r>
          </w:p>
        </w:tc>
      </w:tr>
    </w:tbl>
    <w:p/>
    <w:p>
      <w:pPr>
        <w:pStyle w:val="Heading3"/>
      </w:pPr>
      <w:r>
        <w:t>Línea base</w:t>
      </w:r>
    </w:p>
    <w:p>
      <w:pPr/>
      <w:r>
        <w:t>Se levanta antes de que pañol use el sistema en forma real, porque después la situación "antes" ya no se puede medir. Se usa la misma solicitud de datos a pañol del Business Case.</w:t>
      </w:r>
    </w:p>
    <w:p>
      <w:pPr>
        <w:pStyle w:val="Heading3"/>
      </w:pPr>
      <w:r>
        <w:t>Periodo de medición y responsable</w:t>
      </w:r>
    </w:p>
    <w:p>
      <w:pPr/>
      <w:r>
        <w:t>Por acordar con el Business Visionary (Josefa o Rodolfo).</w:t>
      </w:r>
    </w:p>
    <w:p>
      <w:pPr>
        <w:pStyle w:val="Heading3"/>
      </w:pPr>
      <w:r>
        <w:t>Plantilla de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800"/>
        <w:gridCol w:w="1700"/>
        <w:gridCol w:w="1700"/>
        <w:gridCol w:w="1580"/>
        <w:gridCol w:w="1580"/>
      </w:tblGrid>
      <w:tr>
        <w:trPr>
          <w:cantSplit/>
          <w:tblHeader/>
        </w:trPr>
        <w:tc>
          <w:tcPr>
            <w:tcW w:type="dxa" w:w="2800"/>
            <w:shd w:val="clear" w:color="auto" w:fill="F2F2F2"/>
          </w:tcPr>
          <w:p>
            <w:r/>
            <w:r>
              <w:t>Beneficio</w:t>
            </w:r>
          </w:p>
        </w:tc>
        <w:tc>
          <w:tcPr>
            <w:tcW w:type="dxa" w:w="1700"/>
            <w:shd w:val="clear" w:color="auto" w:fill="F2F2F2"/>
          </w:tcPr>
          <w:p>
            <w:r/>
            <w:r>
              <w:t>Línea base</w:t>
            </w:r>
          </w:p>
        </w:tc>
        <w:tc>
          <w:tcPr>
            <w:tcW w:type="dxa" w:w="1700"/>
            <w:shd w:val="clear" w:color="auto" w:fill="F2F2F2"/>
          </w:tcPr>
          <w:p>
            <w:r/>
            <w:r>
              <w:t>Resultado</w:t>
            </w:r>
          </w:p>
        </w:tc>
        <w:tc>
          <w:tcPr>
            <w:tcW w:type="dxa" w:w="1580"/>
            <w:shd w:val="clear" w:color="auto" w:fill="F2F2F2"/>
          </w:tcPr>
          <w:p>
            <w:r/>
            <w:r>
              <w:t>Periodo</w:t>
            </w:r>
          </w:p>
        </w:tc>
        <w:tc>
          <w:tcPr>
            <w:tcW w:type="dxa" w:w="1580"/>
            <w:shd w:val="clear" w:color="auto" w:fill="F2F2F2"/>
          </w:tcPr>
          <w:p>
            <w:r/>
            <w:r>
              <w:t>Responsable</w:t>
            </w:r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t>Trazabilidad de préstamos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580"/>
          </w:tcPr>
          <w:p>
            <w:r/>
          </w:p>
        </w:tc>
        <w:tc>
          <w:tcPr>
            <w:tcW w:type="dxa" w:w="1580"/>
          </w:tcPr>
          <w:p>
            <w:r/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t>Menos pérdidas y daños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580"/>
          </w:tcPr>
          <w:p>
            <w:r/>
          </w:p>
        </w:tc>
        <w:tc>
          <w:tcPr>
            <w:tcW w:type="dxa" w:w="1580"/>
          </w:tcPr>
          <w:p>
            <w:r/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t>Préstamos recuperados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580"/>
          </w:tcPr>
          <w:p>
            <w:r/>
          </w:p>
        </w:tc>
        <w:tc>
          <w:tcPr>
            <w:tcW w:type="dxa" w:w="1580"/>
          </w:tcPr>
          <w:p>
            <w:r/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t>Menos tiempo de registro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580"/>
          </w:tcPr>
          <w:p>
            <w:r/>
          </w:p>
        </w:tc>
        <w:tc>
          <w:tcPr>
            <w:tcW w:type="dxa" w:w="1580"/>
          </w:tcPr>
          <w:p>
            <w:r/>
          </w:p>
        </w:tc>
      </w:tr>
      <w:tr>
        <w:trPr>
          <w:cantSplit/>
        </w:trPr>
        <w:tc>
          <w:tcPr>
            <w:tcW w:type="dxa" w:w="2800"/>
          </w:tcPr>
          <w:p>
            <w:r/>
            <w:r>
              <w:t>Compras de fungibles respaldadas</w:t>
            </w:r>
          </w:p>
        </w:tc>
        <w:tc>
          <w:tcPr>
            <w:tcW w:type="dxa" w:w="1700"/>
          </w:tcPr>
          <w:p>
            <w:r/>
          </w:p>
        </w:tc>
        <w:tc>
          <w:tcPr>
            <w:tcW w:type="dxa" w:w="1700"/>
          </w:tcPr>
          <w:p>
            <w:r/>
          </w:p>
        </w:tc>
        <w:tc>
          <w:tcPr>
            <w:tcW w:type="dxa" w:w="1580"/>
          </w:tcPr>
          <w:p>
            <w:r/>
          </w:p>
        </w:tc>
        <w:tc>
          <w:tcPr>
            <w:tcW w:type="dxa" w:w="1580"/>
          </w:tcPr>
          <w:p>
            <w: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agilebusiness.org/page/ProjectFramework_08_Product" TargetMode="External"/><Relationship Id="rId4" Type="http://schemas.openxmlformats.org/officeDocument/2006/relationships/hyperlink" Target="https://www.agilebusiness.org/page/ProjectFramework_13_Timeboxing" TargetMode="External"/><Relationship Id="rId5" Type="http://schemas.openxmlformats.org/officeDocument/2006/relationships/hyperlink" Target="https://www.omg.org/spec/BPMN/2.0.2/About-BPMN" TargetMode="External"/><Relationship Id="rId6" Type="http://schemas.openxmlformats.org/officeDocument/2006/relationships/hyperlink" Target="https://c4model.com/" TargetMode="External"/><Relationship Id="rId7" Type="http://schemas.openxmlformats.org/officeDocument/2006/relationships/hyperlink" Target="https://www.agilebusiness.org/page/ProjectFramework_03_PhilosophyFundamental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Benefits Assessment (plan y línea base) — Control de Pañol</dc:title>
  <dc:description>Claude Docs node/3a879b81-c84a@6 docx-w6</dc:description>
  <cp:revision>6</cp:revision>
  <dc:creator>Iván Peña</dc:creator>
</cp:coreProperties>
</file>