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Business Case — Control de Pañol</w:t>
      </w:r>
    </w:p>
    <w:p>
      <w:pPr/>
      <w:r>
        <w:t>Oct 15, 2026 · Iván Peña</w:t>
      </w:r>
    </w:p>
    <w:p>
      <w:pPr>
        <w:pStyle w:val="Heading3"/>
      </w:pPr>
      <w:r>
        <w:t>Visión de negocio</w:t>
      </w:r>
    </w:p>
    <w:p>
      <w:pPr/>
      <w:r>
        <w:t>Optimizar la administración de los recursos físicos del pañol: registrar ingresos y salidas, gestionar préstamos y devoluciones, y tener inventario actualizado, alertas por pérdida o mal uso y reportes de trazabilidad para decidir compras y reposiciones.</w:t>
      </w:r>
    </w:p>
    <w:p>
      <w:pPr>
        <w:pStyle w:val="Heading3"/>
      </w:pPr>
      <w:r>
        <w:t>Situación actual y problema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Registro manual, en Excel y pizarra.</w:t>
      </w:r>
      <w:r>
        <w:t xml:space="preserve"> Todo se basa en planillas Excel y anotaciones en pizarra; cuentan con un sistema, pero no para manejar el inventario. Una interfaz en Python hecha por Rodolfo fue un ejercicio puntual: quedó local, sin acceso concurrente, y hoy no se ocupa. Se consultó a Servicios Digitales para llevarla a la nube, sin resultado.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Comunicación entre turnos por WhatsApp.</w:t>
      </w:r>
      <w:r>
        <w:t xml:space="preserve"> Los dos encargados se avisan los préstamos de los carros de notebooks por mensaje; si uno no avisa, el otro detecta el faltante al día siguiente.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Fungibles sin control.</w:t>
      </w:r>
      <w:r>
        <w:t xml:space="preserve"> Los activos están rotulados y listados, pero los fungibles no tienen control exacto y se compran constantemente.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Sin trazabilidad para justificar compras</w:t>
      </w:r>
      <w:r>
        <w:t xml:space="preserve"> de reemplazo o reparación ante la jefatura.</w:t>
      </w:r>
    </w:p>
    <w:p>
      <w:pPr>
        <w:pStyle w:val="Heading3"/>
      </w:pPr>
      <w:r>
        <w:t>Opciones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200"/>
        <w:gridCol w:w="2200"/>
        <w:gridCol w:w="2400"/>
        <w:gridCol w:w="2560"/>
      </w:tblGrid>
      <w:tr>
        <w:trPr>
          <w:cantSplit/>
          <w:tblHeader/>
        </w:trPr>
        <w:tc>
          <w:tcPr>
            <w:tcW w:type="dxa" w:w="2200"/>
            <w:shd w:val="clear" w:color="auto" w:fill="F2F2F2"/>
          </w:tcPr>
          <w:p>
            <w:r/>
            <w:r>
              <w:t>Opción</w:t>
            </w:r>
          </w:p>
        </w:tc>
        <w:tc>
          <w:tcPr>
            <w:tcW w:type="dxa" w:w="2200"/>
            <w:shd w:val="clear" w:color="auto" w:fill="F2F2F2"/>
          </w:tcPr>
          <w:p>
            <w:r/>
            <w:r>
              <w:t>Costo</w:t>
            </w:r>
          </w:p>
        </w:tc>
        <w:tc>
          <w:tcPr>
            <w:tcW w:type="dxa" w:w="2400"/>
            <w:shd w:val="clear" w:color="auto" w:fill="F2F2F2"/>
          </w:tcPr>
          <w:p>
            <w:r/>
            <w:r>
              <w:t>Beneficio</w:t>
            </w:r>
          </w:p>
        </w:tc>
        <w:tc>
          <w:tcPr>
            <w:tcW w:type="dxa" w:w="2560"/>
            <w:shd w:val="clear" w:color="auto" w:fill="F2F2F2"/>
          </w:tcPr>
          <w:p>
            <w:r/>
            <w:r>
              <w:t>Riesgo</w:t>
            </w:r>
          </w:p>
        </w:tc>
      </w:tr>
      <w:tr>
        <w:trPr>
          <w:cantSplit/>
        </w:trPr>
        <w:tc>
          <w:tcPr>
            <w:tcW w:type="dxa" w:w="2200"/>
          </w:tcPr>
          <w:p>
            <w:r/>
            <w:r>
              <w:t>A. No hacer nada</w:t>
            </w:r>
          </w:p>
        </w:tc>
        <w:tc>
          <w:tcPr>
            <w:tcW w:type="dxa" w:w="2200"/>
          </w:tcPr>
          <w:p>
            <w:r/>
            <w:r>
              <w:t>Sin inversión</w:t>
            </w:r>
          </w:p>
        </w:tc>
        <w:tc>
          <w:tcPr>
            <w:tcW w:type="dxa" w:w="2400"/>
          </w:tcPr>
          <w:p>
            <w:r/>
            <w:r>
              <w:t>Ninguno: continúan Excel, pizarra y WhatsApp</w:t>
            </w:r>
          </w:p>
        </w:tc>
        <w:tc>
          <w:tcPr>
            <w:tcW w:type="dxa" w:w="2560"/>
          </w:tcPr>
          <w:p>
            <w:r/>
            <w:r>
              <w:t>Persiste la falta de trazabilidad y de continuidad</w:t>
            </w:r>
          </w:p>
        </w:tc>
      </w:tr>
      <w:tr>
        <w:trPr>
          <w:cantSplit/>
        </w:trPr>
        <w:tc>
          <w:tcPr>
            <w:tcW w:type="dxa" w:w="2200"/>
          </w:tcPr>
          <w:p>
            <w:r/>
            <w:r>
              <w:t>B. Ampliar la interfaz en Python de Rodolfo</w:t>
            </w:r>
          </w:p>
        </w:tc>
        <w:tc>
          <w:tcPr>
            <w:tcW w:type="dxa" w:w="2200"/>
          </w:tcPr>
          <w:p>
            <w:r/>
            <w:r>
              <w:t>Por completar</w:t>
            </w:r>
          </w:p>
        </w:tc>
        <w:tc>
          <w:tcPr>
            <w:tcW w:type="dxa" w:w="2400"/>
          </w:tcPr>
          <w:p>
            <w:r/>
            <w:r>
              <w:t>Base que los encargados ya conocen</w:t>
            </w:r>
          </w:p>
        </w:tc>
        <w:tc>
          <w:tcPr>
            <w:tcW w:type="dxa" w:w="2560"/>
          </w:tcPr>
          <w:p>
            <w:r/>
            <w:r>
              <w:t>Quedó local, sin acceso concurrente, y hoy no se ocupa</w:t>
            </w:r>
          </w:p>
        </w:tc>
      </w:tr>
      <w:tr>
        <w:trPr>
          <w:cantSplit/>
        </w:trPr>
        <w:tc>
          <w:tcPr>
            <w:tcW w:type="dxa" w:w="2200"/>
          </w:tcPr>
          <w:p>
            <w:r/>
            <w:r>
              <w:t>C. GLPI (referencia estudiada)</w:t>
            </w:r>
          </w:p>
        </w:tc>
        <w:tc>
          <w:tcPr>
            <w:tcW w:type="dxa" w:w="2200"/>
          </w:tcPr>
          <w:p>
            <w:r/>
            <w:r>
              <w:t>Por completar</w:t>
            </w:r>
          </w:p>
        </w:tc>
        <w:tc>
          <w:tcPr>
            <w:tcW w:type="dxa" w:w="2400"/>
          </w:tcPr>
          <w:p>
            <w:r/>
            <w:r>
              <w:t>Por completar</w:t>
            </w:r>
          </w:p>
        </w:tc>
        <w:tc>
          <w:tcPr>
            <w:tcW w:type="dxa" w:w="2560"/>
          </w:tcPr>
          <w:p>
            <w:r/>
            <w:r>
              <w:t>Por completar</w:t>
            </w:r>
          </w:p>
        </w:tc>
      </w:tr>
      <w:tr>
        <w:trPr>
          <w:cantSplit/>
        </w:trPr>
        <w:tc>
          <w:tcPr>
            <w:tcW w:type="dxa" w:w="2200"/>
          </w:tcPr>
          <w:p>
            <w:r/>
            <w:r>
              <w:t>D. Control de Pañol (sistema nuevo)</w:t>
            </w:r>
          </w:p>
        </w:tc>
        <w:tc>
          <w:tcPr>
            <w:tcW w:type="dxa" w:w="2200"/>
          </w:tcPr>
          <w:p>
            <w:r/>
            <w:r>
              <w:t>Horas del equipo, licencias gratuitas y crédito de Azure</w:t>
            </w:r>
          </w:p>
        </w:tc>
        <w:tc>
          <w:tcPr>
            <w:tcW w:type="dxa" w:w="2400"/>
          </w:tcPr>
          <w:p>
            <w:r/>
            <w:r>
              <w:t>Cubre los requerimientos levantados con pañol</w:t>
            </w:r>
          </w:p>
        </w:tc>
        <w:tc>
          <w:tcPr>
            <w:tcW w:type="dxa" w:w="2560"/>
          </w:tcPr>
          <w:p>
            <w:r/>
            <w:r>
              <w:t>Adopción, mantenimiento tras el Demo Day y pendientes de seguridad antes de producción</w:t>
            </w:r>
          </w:p>
        </w:tc>
      </w:tr>
    </w:tbl>
    <w:p/>
    <w:p>
      <w:pPr>
        <w:pStyle w:val="Heading3"/>
      </w:pPr>
      <w:r>
        <w:t>Costos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200"/>
        <w:gridCol w:w="5160"/>
        <w:gridCol w:w="2000"/>
      </w:tblGrid>
      <w:tr>
        <w:trPr>
          <w:cantSplit/>
          <w:tblHeader/>
        </w:trPr>
        <w:tc>
          <w:tcPr>
            <w:tcW w:type="dxa" w:w="2200"/>
            <w:shd w:val="clear" w:color="auto" w:fill="F2F2F2"/>
          </w:tcPr>
          <w:p>
            <w:r/>
            <w:r>
              <w:t>Concepto</w:t>
            </w:r>
          </w:p>
        </w:tc>
        <w:tc>
          <w:tcPr>
            <w:tcW w:type="dxa" w:w="5160"/>
            <w:shd w:val="clear" w:color="auto" w:fill="F2F2F2"/>
          </w:tcPr>
          <w:p>
            <w:r/>
            <w:r>
              <w:t>Detalle</w:t>
            </w:r>
          </w:p>
        </w:tc>
        <w:tc>
          <w:tcPr>
            <w:tcW w:type="dxa" w:w="2000"/>
            <w:shd w:val="clear" w:color="auto" w:fill="F2F2F2"/>
          </w:tcPr>
          <w:p>
            <w:r/>
            <w:r>
              <w:t>Estado</w:t>
            </w:r>
          </w:p>
        </w:tc>
      </w:tr>
      <w:tr>
        <w:trPr>
          <w:cantSplit/>
        </w:trPr>
        <w:tc>
          <w:tcPr>
            <w:tcW w:type="dxa" w:w="2200"/>
          </w:tcPr>
          <w:p>
            <w:r/>
            <w:r>
              <w:t>Licencias de software</w:t>
            </w:r>
          </w:p>
        </w:tc>
        <w:tc>
          <w:tcPr>
            <w:tcW w:type="dxa" w:w="5160"/>
          </w:tcPr>
          <w:p>
            <w:r/>
            <w:r>
              <w:t>Herramientas y licencias gratuitas</w:t>
            </w:r>
          </w:p>
        </w:tc>
        <w:tc>
          <w:tcPr>
            <w:tcW w:type="dxa" w:w="2000"/>
          </w:tcPr>
          <w:p>
            <w:r/>
            <w:r>
              <w:t>Conocido</w:t>
            </w:r>
          </w:p>
        </w:tc>
      </w:tr>
      <w:tr>
        <w:trPr>
          <w:cantSplit/>
        </w:trPr>
        <w:tc>
          <w:tcPr>
            <w:tcW w:type="dxa" w:w="2200"/>
          </w:tcPr>
          <w:p>
            <w:r/>
            <w:r>
              <w:t>Horas del equipo</w:t>
            </w:r>
          </w:p>
        </w:tc>
        <w:tc>
          <w:tcPr>
            <w:tcW w:type="dxa" w:w="5160"/>
          </w:tcPr>
          <w:p>
            <w:r/>
            <w:r>
              <w:t>4 integrantes; total por completar desde los registros de Jira</w:t>
            </w:r>
          </w:p>
        </w:tc>
        <w:tc>
          <w:tcPr>
            <w:tcW w:type="dxa" w:w="2000"/>
          </w:tcPr>
          <w:p>
            <w:r>
              <w:t>Por completar</w:t>
            </w:r>
            <w:r/>
          </w:p>
        </w:tc>
      </w:tr>
      <w:tr>
        <w:trPr>
          <w:cantSplit/>
        </w:trPr>
        <w:tc>
          <w:tcPr>
            <w:tcW w:type="dxa" w:w="2200"/>
          </w:tcPr>
          <w:p>
            <w:r/>
            <w:r>
              <w:t>Infraestructura</w:t>
            </w:r>
          </w:p>
        </w:tc>
        <w:tc>
          <w:tcPr>
            <w:tcW w:type="dxa" w:w="5160"/>
          </w:tcPr>
          <w:p>
            <w:r/>
            <w:r>
              <w:t>Azure for Students (crédito de USD 100, vigente hasta el 23-09-2027)</w:t>
            </w:r>
          </w:p>
        </w:tc>
        <w:tc>
          <w:tcPr>
            <w:tcW w:type="dxa" w:w="2000"/>
          </w:tcPr>
          <w:p>
            <w:r/>
            <w:r>
              <w:t>Conocido</w:t>
            </w:r>
          </w:p>
        </w:tc>
      </w:tr>
      <w:tr>
        <w:trPr>
          <w:cantSplit/>
        </w:trPr>
        <w:tc>
          <w:tcPr>
            <w:tcW w:type="dxa" w:w="2200"/>
          </w:tcPr>
          <w:p>
            <w:r/>
            <w:r>
              <w:t>Operación después del crédito</w:t>
            </w:r>
          </w:p>
        </w:tc>
        <w:tc>
          <w:tcPr>
            <w:tcW w:type="dxa" w:w="5160"/>
          </w:tcPr>
          <w:p>
            <w:r/>
            <w:r>
              <w:t>Costo mensual desde el 23-09-2027 y quién lo asume</w:t>
            </w:r>
          </w:p>
        </w:tc>
        <w:tc>
          <w:tcPr>
            <w:tcW w:type="dxa" w:w="2000"/>
          </w:tcPr>
          <w:p>
            <w:r>
              <w:t>Por completar</w:t>
            </w:r>
            <w:r/>
          </w:p>
        </w:tc>
      </w:tr>
    </w:tbl>
    <w:p/>
    <w:p>
      <w:pPr>
        <w:pStyle w:val="Heading3"/>
      </w:pPr>
      <w:r>
        <w:t>Beneficios cualitativos</w:t>
      </w:r>
    </w:p>
    <w:p>
      <w:pPr>
        <w:pStyle w:val="ListParagraph"/>
        <w:numPr>
          <w:ilvl w:val="0"/>
          <w:numId w:val="1"/>
        </w:numPr>
      </w:pPr>
      <w:r>
        <w:t>Registro unificado entre jornada diurna y vespertina, con qué se prestó, a quién y en qué turno.</w:t>
      </w:r>
    </w:p>
    <w:p>
      <w:pPr>
        <w:pStyle w:val="ListParagraph"/>
        <w:numPr>
          <w:ilvl w:val="0"/>
          <w:numId w:val="1"/>
        </w:numPr>
      </w:pPr>
      <w:r>
        <w:t>Acceso multiusuario concurrente, que el sistema anterior no tenía.</w:t>
      </w:r>
    </w:p>
    <w:p>
      <w:pPr>
        <w:pStyle w:val="ListParagraph"/>
        <w:numPr>
          <w:ilvl w:val="0"/>
          <w:numId w:val="1"/>
        </w:numPr>
      </w:pPr>
      <w:r>
        <w:t>Trazabilidad de activos y fungibles para justificar compras, reemplazos y reparaciones.</w:t>
      </w:r>
    </w:p>
    <w:p>
      <w:pPr>
        <w:pStyle w:val="ListParagraph"/>
        <w:numPr>
          <w:ilvl w:val="0"/>
          <w:numId w:val="1"/>
        </w:numPr>
      </w:pPr>
      <w:r>
        <w:t>Dashboard con elementos prestados, su estado y los materiales más usados en el semestre.</w:t>
      </w:r>
    </w:p>
    <w:p>
      <w:pPr>
        <w:pStyle w:val="Heading3"/>
      </w:pPr>
      <w:r>
        <w:t>Beneficios cuantificados</w:t>
      </w:r>
    </w:p>
    <w:p>
      <w:pPr/>
      <w:r>
        <w:t>Por completar con los datos de pañol. Si no hay registros, se anotará una "estimación de los encargados" con fecha.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200"/>
        <w:gridCol w:w="3000"/>
        <w:gridCol w:w="1700"/>
        <w:gridCol w:w="2460"/>
      </w:tblGrid>
      <w:tr>
        <w:trPr>
          <w:cantSplit/>
          <w:tblHeader/>
        </w:trPr>
        <w:tc>
          <w:tcPr>
            <w:tcW w:type="dxa" w:w="2200"/>
            <w:shd w:val="clear" w:color="auto" w:fill="F2F2F2"/>
          </w:tcPr>
          <w:p>
            <w:r/>
            <w:r>
              <w:t>Beneficio</w:t>
            </w:r>
          </w:p>
        </w:tc>
        <w:tc>
          <w:tcPr>
            <w:tcW w:type="dxa" w:w="3000"/>
            <w:shd w:val="clear" w:color="auto" w:fill="F2F2F2"/>
          </w:tcPr>
          <w:p>
            <w:r/>
            <w:r>
              <w:t>Dato a pedir a pañol</w:t>
            </w:r>
          </w:p>
        </w:tc>
        <w:tc>
          <w:tcPr>
            <w:tcW w:type="dxa" w:w="1700"/>
            <w:shd w:val="clear" w:color="auto" w:fill="F2F2F2"/>
          </w:tcPr>
          <w:p>
            <w:r/>
            <w:r>
              <w:t>Valor actual</w:t>
            </w:r>
          </w:p>
        </w:tc>
        <w:tc>
          <w:tcPr>
            <w:tcW w:type="dxa" w:w="2460"/>
            <w:shd w:val="clear" w:color="auto" w:fill="F2F2F2"/>
          </w:tcPr>
          <w:p>
            <w:r/>
            <w:r>
              <w:t>Fuente</w:t>
            </w:r>
          </w:p>
        </w:tc>
      </w:tr>
      <w:tr>
        <w:trPr>
          <w:cantSplit/>
        </w:trPr>
        <w:tc>
          <w:tcPr>
            <w:tcW w:type="dxa" w:w="2200"/>
          </w:tcPr>
          <w:p>
            <w:r/>
            <w:r>
              <w:t>Menos pérdidas o daños</w:t>
            </w:r>
          </w:p>
        </w:tc>
        <w:tc>
          <w:tcPr>
            <w:tcW w:type="dxa" w:w="3000"/>
          </w:tcPr>
          <w:p>
            <w:r/>
            <w:r>
              <w:t>Pérdidas o daños por semestre</w:t>
            </w:r>
          </w:p>
        </w:tc>
        <w:tc>
          <w:tcPr>
            <w:tcW w:type="dxa" w:w="1700"/>
          </w:tcPr>
          <w:p>
            <w:r>
              <w:t>Por completar</w:t>
            </w:r>
            <w:r/>
          </w:p>
        </w:tc>
        <w:tc>
          <w:tcPr>
            <w:tcW w:type="dxa" w:w="2460"/>
          </w:tcPr>
          <w:p>
            <w:r/>
            <w:r>
              <w:t>Encargados</w:t>
            </w:r>
          </w:p>
        </w:tc>
      </w:tr>
      <w:tr>
        <w:trPr>
          <w:cantSplit/>
        </w:trPr>
        <w:tc>
          <w:tcPr>
            <w:tcW w:type="dxa" w:w="2200"/>
          </w:tcPr>
          <w:p>
            <w:r/>
            <w:r>
              <w:t>Préstamos recuperados</w:t>
            </w:r>
          </w:p>
        </w:tc>
        <w:tc>
          <w:tcPr>
            <w:tcW w:type="dxa" w:w="3000"/>
          </w:tcPr>
          <w:p>
            <w:r/>
            <w:r>
              <w:t>Préstamos no devueltos por semestre</w:t>
            </w:r>
          </w:p>
        </w:tc>
        <w:tc>
          <w:tcPr>
            <w:tcW w:type="dxa" w:w="1700"/>
          </w:tcPr>
          <w:p>
            <w:r>
              <w:t>Por completar</w:t>
            </w:r>
            <w:r/>
          </w:p>
        </w:tc>
        <w:tc>
          <w:tcPr>
            <w:tcW w:type="dxa" w:w="2460"/>
          </w:tcPr>
          <w:p>
            <w:r/>
            <w:r>
              <w:t>Encargados</w:t>
            </w:r>
          </w:p>
        </w:tc>
      </w:tr>
      <w:tr>
        <w:trPr>
          <w:cantSplit/>
        </w:trPr>
        <w:tc>
          <w:tcPr>
            <w:tcW w:type="dxa" w:w="2200"/>
          </w:tcPr>
          <w:p>
            <w:r/>
            <w:r>
              <w:t>Menos tiempo de registro</w:t>
            </w:r>
          </w:p>
        </w:tc>
        <w:tc>
          <w:tcPr>
            <w:tcW w:type="dxa" w:w="3000"/>
          </w:tcPr>
          <w:p>
            <w:r/>
            <w:r>
              <w:t>Tiempo dedicado al registro manual</w:t>
            </w:r>
          </w:p>
        </w:tc>
        <w:tc>
          <w:tcPr>
            <w:tcW w:type="dxa" w:w="1700"/>
          </w:tcPr>
          <w:p>
            <w:r>
              <w:t>Por completar</w:t>
            </w:r>
            <w:r/>
          </w:p>
        </w:tc>
        <w:tc>
          <w:tcPr>
            <w:tcW w:type="dxa" w:w="2460"/>
          </w:tcPr>
          <w:p>
            <w:r/>
            <w:r>
              <w:t>Encargados</w:t>
            </w:r>
          </w:p>
        </w:tc>
      </w:tr>
      <w:tr>
        <w:trPr>
          <w:cantSplit/>
        </w:trPr>
        <w:tc>
          <w:tcPr>
            <w:tcW w:type="dxa" w:w="2200"/>
          </w:tcPr>
          <w:p>
            <w:r/>
            <w:r>
              <w:t>Compras respaldadas</w:t>
            </w:r>
          </w:p>
        </w:tc>
        <w:tc>
          <w:tcPr>
            <w:tcW w:type="dxa" w:w="3000"/>
          </w:tcPr>
          <w:p>
            <w:r/>
            <w:r>
              <w:t>Compras de fungibles por semestre</w:t>
            </w:r>
          </w:p>
        </w:tc>
        <w:tc>
          <w:tcPr>
            <w:tcW w:type="dxa" w:w="1700"/>
          </w:tcPr>
          <w:p>
            <w:r>
              <w:t>Por completar</w:t>
            </w:r>
            <w:r/>
          </w:p>
        </w:tc>
        <w:tc>
          <w:tcPr>
            <w:tcW w:type="dxa" w:w="2460"/>
          </w:tcPr>
          <w:p>
            <w:r/>
            <w:r>
              <w:t>Encargados</w:t>
            </w:r>
          </w:p>
        </w:tc>
      </w:tr>
    </w:tbl>
    <w:p/>
    <w:p>
      <w:pPr>
        <w:pStyle w:val="Heading3"/>
      </w:pPr>
      <w:r>
        <w:t>Riesgos de negocio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Adopción.</w:t>
      </w:r>
      <w:r>
        <w:t xml:space="preserve"> La herramienta anterior quedó sin uso.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Mantenimiento después del Demo Day.</w:t>
      </w:r>
      <w:r>
        <w:t xml:space="preserve"> No hay responsable definido.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Respaldo formal del Business Sponsor (la directora) por completar.</w:t>
      </w:r>
    </w:p>
    <w:p>
      <w:pPr>
        <w:pStyle w:val="Heading3"/>
      </w:pPr>
      <w:r>
        <w:t>Respaldo del Business Sponsor</w:t>
      </w:r>
    </w:p>
    <w:p>
      <w:pPr/>
      <w:r>
        <w:t>Por completar con el respaldo de la directora como Business Sponsor.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agilebusiness.org/page/ProjectFramework_08_Product" TargetMode="External"/><Relationship Id="rId4" Type="http://schemas.openxmlformats.org/officeDocument/2006/relationships/hyperlink" Target="https://www.agilebusiness.org/page/ProjectFramework_13_Timeboxing" TargetMode="External"/><Relationship Id="rId5" Type="http://schemas.openxmlformats.org/officeDocument/2006/relationships/hyperlink" Target="https://www.omg.org/spec/BPMN/2.0.2/About-BPMN" TargetMode="External"/><Relationship Id="rId6" Type="http://schemas.openxmlformats.org/officeDocument/2006/relationships/hyperlink" Target="https://c4model.com/" TargetMode="External"/><Relationship Id="rId7" Type="http://schemas.openxmlformats.org/officeDocument/2006/relationships/hyperlink" Target="https://www.agilebusiness.org/page/ProjectFramework_03_PhilosophyFundamentals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Business Case — Control de Pañol</dc:title>
  <dc:description>Claude Docs node/3a879b81-c84a@6 docx-w6</dc:description>
  <cp:revision>6</cp:revision>
  <dc:creator>Iván Peña</dc:creator>
</cp:coreProperties>
</file>