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Trabajo Práctico Integrador</w:t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</w:t>
      </w:r>
      <w:r w:rsidDel="00000000" w:rsidR="00000000" w:rsidRPr="00000000">
        <w:rPr>
          <w:i w:val="1"/>
          <w:sz w:val="44"/>
          <w:szCs w:val="44"/>
          <w:rtl w:val="0"/>
        </w:rPr>
        <w:t xml:space="preserve">Tecnicatura Superior de Desarrollo de Software</w:t>
      </w:r>
      <w:r w:rsidDel="00000000" w:rsidR="00000000" w:rsidRPr="00000000">
        <w:rPr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Integrantes:</w:t>
      </w:r>
      <w:r w:rsidDel="00000000" w:rsidR="00000000" w:rsidRPr="00000000">
        <w:rPr>
          <w:sz w:val="40"/>
          <w:szCs w:val="40"/>
          <w:rtl w:val="0"/>
        </w:rPr>
        <w:t xml:space="preserve"> Daniel Ivan Bustamante - Mateo Nicolás Gauto.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Profesor/es: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Villalba 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16" w:firstLine="707.0000000000002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16" w:firstLine="707.0000000000002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24" w:hanging="2124"/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Instituto:</w:t>
      </w:r>
      <w:r w:rsidDel="00000000" w:rsidR="00000000" w:rsidRPr="00000000">
        <w:rPr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sz w:val="40"/>
          <w:szCs w:val="40"/>
          <w:rtl w:val="0"/>
        </w:rPr>
        <w:t xml:space="preserve">Instituto Superior Roque Gonzalez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Año:</w:t>
      </w:r>
      <w:r w:rsidDel="00000000" w:rsidR="00000000" w:rsidRPr="00000000">
        <w:rPr>
          <w:sz w:val="40"/>
          <w:szCs w:val="40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Descripción de Casos de Usos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Módulo de registro de vehículos: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2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7"/>
        <w:gridCol w:w="516"/>
        <w:gridCol w:w="2640"/>
        <w:gridCol w:w="2969"/>
        <w:tblGridChange w:id="0">
          <w:tblGrid>
            <w:gridCol w:w="2387"/>
            <w:gridCol w:w="516"/>
            <w:gridCol w:w="2640"/>
            <w:gridCol w:w="296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vehículo</w:t>
            </w:r>
          </w:p>
        </w:tc>
      </w:tr>
      <w:tr>
        <w:trPr>
          <w:cantSplit w:val="0"/>
          <w:trHeight w:val="251.3671875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2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2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registro de vehículos con información clave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2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Las marcas y modelos estén registrados con anterioridad.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2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ingresa al apartado de vehículos.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.3671875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el apartado de vehículos.</w:t>
            </w:r>
          </w:p>
        </w:tc>
      </w:tr>
      <w:tr>
        <w:trPr>
          <w:cantSplit w:val="0"/>
          <w:trHeight w:val="566.3671875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al apartado de registro vehícular. 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la información requerida a completar.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 los  con la marca, el modelo y el chasis y estado general del vehículo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la información registrada.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4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 agrega un nuevo vehículo al registro.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5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Eventos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6)La marca, modelo y chasis coinciden con un registro realizado y cancela la operación.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2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7"/>
        <w:gridCol w:w="516"/>
        <w:gridCol w:w="2640"/>
        <w:gridCol w:w="2969"/>
        <w:tblGridChange w:id="0">
          <w:tblGrid>
            <w:gridCol w:w="2387"/>
            <w:gridCol w:w="516"/>
            <w:gridCol w:w="2640"/>
            <w:gridCol w:w="296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6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estado del vehículo</w:t>
            </w:r>
          </w:p>
        </w:tc>
      </w:tr>
      <w:tr>
        <w:trPr>
          <w:cantSplit w:val="0"/>
          <w:trHeight w:val="251.3671875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6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realiza una consulta sobre el estado general de un vehículo </w:t>
            </w:r>
          </w:p>
        </w:tc>
      </w:tr>
      <w:tr>
        <w:trPr>
          <w:cantSplit w:val="0"/>
          <w:trHeight w:val="577.734375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vehículos deben estar registrados con anterioridad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7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7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ingresa al apartado de vehículos.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.3671875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el apartado de vehículos.</w:t>
            </w:r>
          </w:p>
        </w:tc>
      </w:tr>
      <w:tr>
        <w:trPr>
          <w:cantSplit w:val="0"/>
          <w:trHeight w:val="566.3671875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al apartado de consulta vehícular.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 una lista con los vehículos registrados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el vehículo a consultar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Devuelve el informe de estado del vehículo seleccionado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9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.734375" w:hRule="atLeast"/>
          <w:tblHeader w:val="0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9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09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Eventos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5) El vehículo a consultar no está registrado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0" w:line="240" w:lineRule="auto"/>
        <w:rPr>
          <w:b w:val="1"/>
          <w:i w:val="1"/>
          <w:color w:val="808080"/>
        </w:rPr>
        <w:sectPr>
          <w:headerReference r:id="rId6" w:type="default"/>
          <w:footerReference r:id="rId7" w:type="default"/>
          <w:pgSz w:h="16839" w:w="11907" w:orient="portrait"/>
          <w:pgMar w:bottom="1134" w:top="1418" w:left="1701" w:right="85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a6a6a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1907" w:w="16839" w:orient="landscape"/>
      <w:pgMar w:bottom="1701" w:top="1701" w:left="1418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  <w:t xml:space="preserve">Apellido, Nombre</w:t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Pág.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  <w:t xml:space="preserve">Apellido, Nombre</w:t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Pág.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697548" cy="69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548" cy="69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</w:t>
    </w:r>
    <w:r w:rsidDel="00000000" w:rsidR="00000000" w:rsidRPr="00000000">
      <w:rPr>
        <w:rtl w:val="0"/>
      </w:rPr>
      <w:t xml:space="preserve">Tecnicatura Superior de Desarrollo de Software </w:t>
    </w:r>
    <w:r w:rsidDel="00000000" w:rsidR="00000000" w:rsidRPr="00000000">
      <w:rPr>
        <w:color w:val="000000"/>
        <w:rtl w:val="0"/>
      </w:rPr>
      <w:t xml:space="preserve">– </w:t>
    </w:r>
    <w:r w:rsidDel="00000000" w:rsidR="00000000" w:rsidRPr="00000000">
      <w:rPr>
        <w:rtl w:val="0"/>
      </w:rPr>
      <w:t xml:space="preserve">Análisis y Diseño 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697548" cy="69754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548" cy="69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</w:t>
    </w:r>
    <w:r w:rsidDel="00000000" w:rsidR="00000000" w:rsidRPr="00000000">
      <w:rPr>
        <w:rtl w:val="0"/>
      </w:rPr>
      <w:t xml:space="preserve">Tecnicatura Superior de Desarrollo de Software </w:t>
    </w:r>
    <w:r w:rsidDel="00000000" w:rsidR="00000000" w:rsidRPr="00000000">
      <w:rPr>
        <w:color w:val="000000"/>
        <w:rtl w:val="0"/>
      </w:rPr>
      <w:t xml:space="preserve">– </w:t>
    </w:r>
    <w:r w:rsidDel="00000000" w:rsidR="00000000" w:rsidRPr="00000000">
      <w:rPr>
        <w:rtl w:val="0"/>
      </w:rPr>
      <w:t xml:space="preserve">Análisis y Diseño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AR"/>
      </w:rPr>
    </w:rPrDefault>
    <w:pPrDefault>
      <w:pPr>
        <w:spacing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2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