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ca90kajngun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Лабораторная работа по управлению данными №1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16fzyflmt0u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Предметная область представляет собой модель торговой онлайн-площадки, ассортиментом которой являются компьютерные игры. Также описание содержит такие примеры взаимодействия покупателей и разработчиков игр с площадкой, как выгрузка готовой игры на площадку, предоставление покупателю выбора доступных продуктов и покупка игры.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Предварительно стоит учесть некоторые аспекты: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Подразумевается, что за один заказ может быть куплена только одна игра и разработчик выкладывает на площадке только одну игру за раз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oa8ab3yrs2r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Основными сущностями предметной области являются: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человек, зашедший на площадку и оформивший заказ.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атрибуты: ID, ФИО, email, пароль (в зашифрованном виде), баланс на счёте.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Торговая площадка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онлайн-пространство, где покупатели могут подобрать понравившиеся им игры и приобрести их, а разработчики могут выложить свою игру и получать деньги с покупок.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атрибуты: ID, название, URL-адрес, список жанров.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специалист/компания по разработке игр, который/-ая имеет возможность выложить свою игру на онлайн-площадку для продажи и получения заработка.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атрибуты: ID, ФИО/название студии, игра для загрузки, email (для связи).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Игра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результат разработки и товар на торговой площадке, приобрести который может покупатель, оформив заказ.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атрибуты: ID, название, жанр, описание, id_разработчик, стоимость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оформленное соглашение между покупателем и торговой площадкой, по которому покупатель обязуется заплатить деньги, а торговая площадка - добавить товар в библиотеку покупателя.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атрибуты: ID,  id_покупатель, id_игра, дата оформления, статус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9790yehowbj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Процессами являются: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Оформление заказа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Покупатель выбирает одну игру из библиотеки площадки, добавляет её в корзину и завершает процесс покупки. После успешной оплаты игра добавляется в библиотеку покупателя.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Размещение игры на торговой площадке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Разработчик загружает новую игру, заполняет карточку игры и отправляет её на модерацию. После проверки игра становится доступной для покупки.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Формирование библиотеки доступных для покупки игр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загруженные разработчиками игры структурируются и размещаются по разделам на площадке, создавая удобную навигацию для пользователей.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e6yja5h654n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ER-диаграмма предметной области: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m13pszor39nq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UML-диаграмма классов предметной области: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6296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8chd1i5p7s3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UML-диаграмма use-case предметной области: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iwpstm567wj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UML-диаграмма последовательности предметной области: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48.5039370078744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