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Template: AI policy for Swiss SMEs</w:t>
      </w:r>
    </w:p>
    <w:p>
      <w:pPr>
        <w:pBdr>
          <w:left w:val="single" w:color="94A3B8" w:sz="18" w:space="8"/>
        </w:pBdr>
        <w:shd w:fill="EEF2F7" w:color="auto" w:val="clear"/>
        <w:ind w:left="240" w:right="240"/>
      </w:pPr>
      <w:r>
        <w:rPr>
          <w:b/>
          <w:bCs/>
        </w:rPr>
        <w:t xml:space="preserve">How to use this template (delete before the policy takes effect)</w:t>
      </w:r>
    </w:p>
    <w:p>
      <w:pPr>
        <w:pStyle w:val="ListParagraph"/>
        <w:numPr>
          <w:ilvl w:val="0"/>
          <w:numId w:val="1"/>
        </w:numPr>
        <w:pBdr>
          <w:left w:val="single" w:color="94A3B8" w:sz="18" w:space="8"/>
        </w:pBdr>
        <w:shd w:fill="EEF2F7" w:color="auto" w:val="clear"/>
        <w:ind w:left="240" w:right="240"/>
      </w:pPr>
      <w:r>
        <w:t xml:space="preserve">This template is a starting point, not legal advice. Adapt it to your company and have it reviewed by a specialist if needed.</w:t>
      </w:r>
    </w:p>
    <w:p>
      <w:pPr>
        <w:pStyle w:val="ListParagraph"/>
        <w:numPr>
          <w:ilvl w:val="0"/>
          <w:numId w:val="1"/>
        </w:numPr>
        <w:pBdr>
          <w:left w:val="single" w:color="94A3B8" w:sz="18" w:space="8"/>
        </w:pBdr>
        <w:shd w:fill="EEF2F7" w:color="auto" w:val="clear"/>
        <w:ind w:left="240" w:right="240"/>
      </w:pPr>
      <w:r>
        <w:t xml:space="preserve">Replace everything in </w:t>
      </w:r>
      <w:r>
        <w:rPr>
          <w:b/>
          <w:bCs/>
          <w:highlight w:val="yellow"/>
        </w:rPr>
        <w:t xml:space="preserve">[square brackets]</w:t>
      </w:r>
      <w:r>
        <w:t xml:space="preserve">. Delete anything that doesn't apply to you.</w:t>
      </w:r>
    </w:p>
    <w:p>
      <w:pPr>
        <w:pStyle w:val="ListParagraph"/>
        <w:numPr>
          <w:ilvl w:val="0"/>
          <w:numId w:val="1"/>
        </w:numPr>
        <w:pBdr>
          <w:left w:val="single" w:color="94A3B8" w:sz="18" w:space="8"/>
        </w:pBdr>
        <w:shd w:fill="EEF2F7" w:color="auto" w:val="clear"/>
        <w:ind w:left="240" w:right="240"/>
      </w:pPr>
      <w:r>
        <w:rPr>
          <w:b/>
          <w:bCs/>
        </w:rPr>
        <w:t xml:space="preserve">Small companies (1–9 employees):</w:t>
      </w:r>
      <w:r>
        <w:t xml:space="preserve"> sections 8 and 9 can be cut to one sentence each. The person responsible for AI is usually the owner.</w:t>
      </w:r>
    </w:p>
    <w:p>
      <w:pPr>
        <w:pStyle w:val="ListParagraph"/>
        <w:numPr>
          <w:ilvl w:val="0"/>
          <w:numId w:val="1"/>
        </w:numPr>
        <w:pBdr>
          <w:left w:val="single" w:color="94A3B8" w:sz="18" w:space="8"/>
        </w:pBdr>
        <w:shd w:fill="EEF2F7" w:color="auto" w:val="clear"/>
        <w:ind w:left="240" w:right="240"/>
      </w:pPr>
      <w:r>
        <w:rPr>
          <w:b/>
          <w:bCs/>
        </w:rPr>
        <w:t xml:space="preserve">Sectors with professional secrecy</w:t>
      </w:r>
      <w:r>
        <w:t xml:space="preserve"> (e.g. fiduciaries, lawyers, healthcare) or </w:t>
      </w:r>
      <w:r>
        <w:rPr>
          <w:b/>
          <w:bCs/>
        </w:rPr>
        <w:t xml:space="preserve">FINMA supervision:</w:t>
      </w:r>
      <w:r>
        <w:t xml:space="preserve"> check whether you need stricter rules than this template sets out.</w:t>
      </w:r>
    </w:p>
    <w:p>
      <w:pPr>
        <w:pStyle w:val="ListParagraph"/>
        <w:numPr>
          <w:ilvl w:val="0"/>
          <w:numId w:val="1"/>
        </w:numPr>
        <w:pBdr>
          <w:left w:val="single" w:color="94A3B8" w:sz="18" w:space="8"/>
        </w:pBdr>
        <w:shd w:fill="EEF2F7" w:color="auto" w:val="clear"/>
        <w:ind w:left="240" w:right="240"/>
      </w:pPr>
      <w:r>
        <w:t xml:space="preserve">The template matches the AI check on aicompliant.ch: it covers tool approval, data, training, transparency, decisions about people, responsibility and incidents.</w:t>
      </w:r>
    </w:p>
    <w:p>
      <w:pPr>
        <w:pStyle w:val="ListParagraph"/>
        <w:numPr>
          <w:ilvl w:val="0"/>
          <w:numId w:val="1"/>
        </w:numPr>
        <w:pBdr>
          <w:left w:val="single" w:color="94A3B8" w:sz="18" w:space="8"/>
        </w:pBdr>
        <w:shd w:fill="EEF2F7" w:color="auto" w:val="clear"/>
        <w:ind w:left="240" w:right="240"/>
      </w:pPr>
      <w:r>
        <w:t xml:space="preserve">Legal references are to the Swiss Federal Act on Data Protection (FADP; DE: DSG, often called nDSG) and the Ordinance 3 to the Employment Act (ArGV 3).</w:t>
      </w:r>
    </w:p>
    <w:p>
      <w:pPr>
        <w:pBdr>
          <w:bottom w:val="single" w:color="94A3B8" w:sz="6" w:space="1"/>
        </w:pBdr>
      </w:pPr>
    </w:p>
    <w:p>
      <w:r>
        <w:rPr>
          <w:b/>
          <w:bCs/>
          <w:highlight w:val="yellow"/>
        </w:rPr>
        <w:t xml:space="preserve">[Company name]</w:t>
      </w:r>
      <w:r>
        <w:br/>
      </w:r>
      <w:r>
        <w:rPr>
          <w:b/>
          <w:bCs/>
        </w:rPr>
        <w:t xml:space="preserve">AI policy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r>
              <w:t xml:space="preserve">Version</w:t>
            </w:r>
          </w:p>
        </w:tc>
        <w:tc>
          <w:tcPr>
            <w:tcW w:type="pct" w:w="2500"/>
          </w:tcPr>
          <w:p>
            <w:r>
              <w:rPr>
                <w:highlight w:val="yellow"/>
              </w:rPr>
              <w:t xml:space="preserve">[1.0]</w:t>
            </w:r>
          </w:p>
        </w:tc>
      </w:tr>
      <w:tr>
        <w:tc>
          <w:tcPr>
            <w:tcW w:type="pct" w:w="2500"/>
          </w:tcPr>
          <w:p>
            <w:r>
              <w:t xml:space="preserve">Effective from</w:t>
            </w:r>
          </w:p>
        </w:tc>
        <w:tc>
          <w:tcPr>
            <w:tcW w:type="pct" w:w="2500"/>
          </w:tcPr>
          <w:p>
            <w:r>
              <w:rPr>
                <w:highlight w:val="yellow"/>
              </w:rPr>
              <w:t xml:space="preserve">[DD.MM.YYYY]</w:t>
            </w:r>
          </w:p>
        </w:tc>
      </w:tr>
      <w:tr>
        <w:tc>
          <w:tcPr>
            <w:tcW w:type="pct" w:w="2500"/>
          </w:tcPr>
          <w:p>
            <w:r>
              <w:t xml:space="preserve">Owner</w:t>
            </w:r>
          </w:p>
        </w:tc>
        <w:tc>
          <w:tcPr>
            <w:tcW w:type="pct" w:w="2500"/>
          </w:tcPr>
          <w:p>
            <w:r>
              <w:rPr>
                <w:highlight w:val="yellow"/>
              </w:rPr>
              <w:t xml:space="preserve">[Name, role]</w:t>
            </w:r>
            <w:r>
              <w:t xml:space="preserve"> (the "AI lead")</w:t>
            </w:r>
          </w:p>
        </w:tc>
      </w:tr>
      <w:tr>
        <w:tc>
          <w:tcPr>
            <w:tcW w:type="pct" w:w="2500"/>
          </w:tcPr>
          <w:p>
            <w:r>
              <w:t xml:space="preserve">Approved by</w:t>
            </w:r>
          </w:p>
        </w:tc>
        <w:tc>
          <w:tcPr>
            <w:tcW w:type="pct" w:w="2500"/>
          </w:tcPr>
          <w:p>
            <w:r>
              <w:rPr>
                <w:highlight w:val="yellow"/>
              </w:rPr>
              <w:t xml:space="preserve">[Management / name]</w:t>
            </w:r>
          </w:p>
        </w:tc>
      </w:tr>
      <w:tr>
        <w:tc>
          <w:tcPr>
            <w:tcW w:type="pct" w:w="2500"/>
          </w:tcPr>
          <w:p>
            <w:r>
              <w:t xml:space="preserve">Next review</w:t>
            </w:r>
          </w:p>
        </w:tc>
        <w:tc>
          <w:tcPr>
            <w:tcW w:type="pct" w:w="2500"/>
          </w:tcPr>
          <w:p>
            <w:r>
              <w:rPr>
                <w:highlight w:val="yellow"/>
              </w:rPr>
              <w:t xml:space="preserve">[DD.MM.YYYY, no later than 12 months after it takes effect]</w:t>
            </w:r>
          </w:p>
        </w:tc>
      </w:tr>
    </w:tbl>
    <w:p/>
    <w:p>
      <w:pPr>
        <w:pStyle w:val="Heading1"/>
      </w:pPr>
      <w:r>
        <w:t xml:space="preserve">1. Purpose and scope</w:t>
      </w:r>
    </w:p>
    <w:p>
      <w:r>
        <w:t xml:space="preserve">This policy sets out how </w:t>
      </w:r>
      <w:r>
        <w:rPr>
          <w:highlight w:val="yellow"/>
        </w:rPr>
        <w:t xml:space="preserve">[Company name]</w:t>
      </w:r>
      <w:r>
        <w:t xml:space="preserve"> uses artificial intelligence (AI) tools. Its aim is to let us benefit from AI while protecting personal data, business secrets and our reputation.</w:t>
      </w:r>
    </w:p>
    <w:p>
      <w:r>
        <w:t xml:space="preserve">It applies to:</w:t>
      </w:r>
    </w:p>
    <w:p>
      <w:pPr>
        <w:pStyle w:val="ListParagraph"/>
        <w:numPr>
          <w:ilvl w:val="0"/>
          <w:numId w:val="1"/>
        </w:numPr>
      </w:pPr>
      <w:r>
        <w:t xml:space="preserve">all employees, apprentices and interns, and </w:t>
      </w:r>
      <w:r>
        <w:rPr>
          <w:highlight w:val="yellow"/>
        </w:rPr>
        <w:t xml:space="preserve">[freelancers / contractors]</w:t>
      </w:r>
      <w:r>
        <w:t xml:space="preserve"> when they work for us;</w:t>
      </w:r>
    </w:p>
    <w:p>
      <w:pPr>
        <w:pStyle w:val="ListParagraph"/>
        <w:numPr>
          <w:ilvl w:val="0"/>
          <w:numId w:val="1"/>
        </w:numPr>
      </w:pPr>
      <w:r>
        <w:t xml:space="preserve">all AI tools that generate text, images, audio, code or analysis, including AI features built into existing software (e.g. office software, the CRM or the accounting system);</w:t>
      </w:r>
    </w:p>
    <w:p>
      <w:pPr>
        <w:pStyle w:val="ListParagraph"/>
        <w:numPr>
          <w:ilvl w:val="0"/>
          <w:numId w:val="1"/>
        </w:numPr>
      </w:pPr>
      <w:r>
        <w:t xml:space="preserve">use on company devices and on personal devices when the work is for </w:t>
      </w:r>
      <w:r>
        <w:rPr>
          <w:highlight w:val="yellow"/>
        </w:rPr>
        <w:t xml:space="preserve">[Company name]</w:t>
      </w:r>
      <w:r>
        <w:t xml:space="preserve">.</w:t>
      </w:r>
    </w:p>
    <w:p>
      <w:pPr>
        <w:pStyle w:val="Heading1"/>
      </w:pPr>
      <w:r>
        <w:t xml:space="preserve">2. Principles</w:t>
      </w:r>
    </w:p>
    <w:p>
      <w:pPr>
        <w:pStyle w:val="ListParagraph"/>
        <w:numPr>
          <w:ilvl w:val="0"/>
          <w:numId w:val="2"/>
        </w:numPr>
      </w:pPr>
      <w:r>
        <w:rPr>
          <w:b/>
          <w:bCs/>
        </w:rPr>
        <w:t xml:space="preserve">People stay responsible.</w:t>
      </w:r>
      <w:r>
        <w:t xml:space="preserve"> AI is a tool. Whoever uses an AI result is responsible for it.</w:t>
      </w:r>
    </w:p>
    <w:p>
      <w:pPr>
        <w:pStyle w:val="ListParagraph"/>
        <w:numPr>
          <w:ilvl w:val="0"/>
          <w:numId w:val="2"/>
        </w:numPr>
      </w:pPr>
      <w:r>
        <w:rPr>
          <w:b/>
          <w:bCs/>
        </w:rPr>
        <w:t xml:space="preserve">Approved tools only.</w:t>
      </w:r>
      <w:r>
        <w:t xml:space="preserve"> For work, we use only the AI tools approved in section 3.</w:t>
      </w:r>
    </w:p>
    <w:p>
      <w:pPr>
        <w:pStyle w:val="ListParagraph"/>
        <w:numPr>
          <w:ilvl w:val="0"/>
          <w:numId w:val="2"/>
        </w:numPr>
      </w:pPr>
      <w:r>
        <w:rPr>
          <w:b/>
          <w:bCs/>
        </w:rPr>
        <w:t xml:space="preserve">Protect data.</w:t>
      </w:r>
      <w:r>
        <w:t xml:space="preserve"> Anything entered into an AI tool can leave the company. The rules in section 4 always apply.</w:t>
      </w:r>
    </w:p>
    <w:p>
      <w:pPr>
        <w:pStyle w:val="ListParagraph"/>
        <w:numPr>
          <w:ilvl w:val="0"/>
          <w:numId w:val="2"/>
        </w:numPr>
      </w:pPr>
      <w:r>
        <w:rPr>
          <w:b/>
          <w:bCs/>
        </w:rPr>
        <w:t xml:space="preserve">Check results.</w:t>
      </w:r>
      <w:r>
        <w:t xml:space="preserve"> AI can make mistakes that sound convincing. Results are checked before they are used (section 5).</w:t>
      </w:r>
    </w:p>
    <w:p>
      <w:pPr>
        <w:pStyle w:val="ListParagraph"/>
        <w:numPr>
          <w:ilvl w:val="0"/>
          <w:numId w:val="2"/>
        </w:numPr>
      </w:pPr>
      <w:r>
        <w:rPr>
          <w:b/>
          <w:bCs/>
        </w:rPr>
        <w:t xml:space="preserve">Ask when unsure.</w:t>
      </w:r>
      <w:r>
        <w:t xml:space="preserve"> If in doubt, ask the AI lead before acting.</w:t>
      </w:r>
    </w:p>
    <w:p>
      <w:pPr>
        <w:pStyle w:val="Heading1"/>
      </w:pPr>
      <w:r>
        <w:t xml:space="preserve">3. Approved AI tools</w:t>
      </w:r>
    </w:p>
    <w:p>
      <w:r>
        <w:t xml:space="preserve">The following tools are approved for work: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EEF2F7" w:color="auto" w:val="clear"/>
          </w:tcPr>
          <w:p>
            <w:r>
              <w:rPr>
                <w:b/>
                <w:bCs/>
              </w:rPr>
              <w:t xml:space="preserve">Tool</w:t>
            </w:r>
          </w:p>
        </w:tc>
        <w:tc>
          <w:tcPr>
            <w:tcW w:type="pct" w:w="1250"/>
            <w:shd w:fill="EEF2F7" w:color="auto" w:val="clear"/>
          </w:tcPr>
          <w:p>
            <w:r>
              <w:rPr>
                <w:b/>
                <w:bCs/>
              </w:rPr>
              <w:t xml:space="preserve">Account / licence</w:t>
            </w:r>
          </w:p>
        </w:tc>
        <w:tc>
          <w:tcPr>
            <w:tcW w:type="pct" w:w="1250"/>
            <w:shd w:fill="EEF2F7" w:color="auto" w:val="clear"/>
          </w:tcPr>
          <w:p>
            <w:r>
              <w:rPr>
                <w:b/>
                <w:bCs/>
              </w:rPr>
              <w:t xml:space="preserve">Permitted use</w:t>
            </w:r>
          </w:p>
        </w:tc>
        <w:tc>
          <w:tcPr>
            <w:tcW w:type="pct" w:w="1250"/>
            <w:shd w:fill="EEF2F7" w:color="auto" w:val="clear"/>
          </w:tcPr>
          <w:p>
            <w:r>
              <w:rPr>
                <w:b/>
                <w:bCs/>
              </w:rPr>
              <w:t xml:space="preserve">Highest permitted data level (see section 4)</w:t>
            </w:r>
          </w:p>
        </w:tc>
      </w:tr>
      <w:tr>
        <w:tc>
          <w:tcPr>
            <w:tcW w:type="pct" w:w="1250"/>
          </w:tcPr>
          <w:p>
            <w:r>
              <w:rPr>
                <w:highlight w:val="yellow"/>
              </w:rPr>
              <w:t xml:space="preserve">[e.g. Microsoft 365 Copilot]</w:t>
            </w:r>
          </w:p>
        </w:tc>
        <w:tc>
          <w:tcPr>
            <w:tcW w:type="pct" w:w="1250"/>
          </w:tcPr>
          <w:p>
            <w:r>
              <w:rPr>
                <w:highlight w:val="yellow"/>
              </w:rPr>
              <w:t xml:space="preserve">[Company business licence]</w:t>
            </w:r>
          </w:p>
        </w:tc>
        <w:tc>
          <w:tcPr>
            <w:tcW w:type="pct" w:w="1250"/>
          </w:tcPr>
          <w:p>
            <w:r>
              <w:rPr>
                <w:highlight w:val="yellow"/>
              </w:rPr>
              <w:t xml:space="preserve">[Drafting text, summaries, research]</w:t>
            </w:r>
          </w:p>
        </w:tc>
        <w:tc>
          <w:tcPr>
            <w:tcW w:type="pct" w:w="1250"/>
          </w:tcPr>
          <w:p>
            <w:r>
              <w:rPr>
                <w:highlight w:val="yellow"/>
              </w:rPr>
              <w:t xml:space="preserve">[Yellow]</w:t>
            </w:r>
          </w:p>
        </w:tc>
      </w:tr>
      <w:tr>
        <w:tc>
          <w:tcPr>
            <w:tcW w:type="pct" w:w="1250"/>
          </w:tcPr>
          <w:p>
            <w:r>
              <w:rPr>
                <w:highlight w:val="yellow"/>
              </w:rPr>
              <w:t xml:space="preserve">[e.g. DeepL Pro]</w:t>
            </w:r>
          </w:p>
        </w:tc>
        <w:tc>
          <w:tcPr>
            <w:tcW w:type="pct" w:w="1250"/>
          </w:tcPr>
          <w:p>
            <w:r>
              <w:rPr>
                <w:highlight w:val="yellow"/>
              </w:rPr>
              <w:t xml:space="preserve">[Company account]</w:t>
            </w:r>
          </w:p>
        </w:tc>
        <w:tc>
          <w:tcPr>
            <w:tcW w:type="pct" w:w="1250"/>
          </w:tcPr>
          <w:p>
            <w:r>
              <w:rPr>
                <w:highlight w:val="yellow"/>
              </w:rPr>
              <w:t xml:space="preserve">[Translation]</w:t>
            </w:r>
          </w:p>
        </w:tc>
        <w:tc>
          <w:tcPr>
            <w:tcW w:type="pct" w:w="1250"/>
          </w:tcPr>
          <w:p>
            <w:r>
              <w:rPr>
                <w:highlight w:val="yellow"/>
              </w:rPr>
              <w:t xml:space="preserve">[Yellow]</w:t>
            </w:r>
          </w:p>
        </w:tc>
      </w:tr>
      <w:tr>
        <w:tc>
          <w:tcPr>
            <w:tcW w:type="pct" w:w="1250"/>
          </w:tcPr>
          <w:p>
            <w:r>
              <w:rPr>
                <w:highlight w:val="yellow"/>
              </w:rPr>
              <w:t xml:space="preserve">[Tool]</w:t>
            </w:r>
          </w:p>
        </w:tc>
        <w:tc>
          <w:tcPr>
            <w:tcW w:type="pct" w:w="1250"/>
          </w:tcPr>
          <w:p>
            <w:r>
              <w:rPr>
                <w:highlight w:val="yellow"/>
              </w:rPr>
              <w:t xml:space="preserve">[Account]</w:t>
            </w:r>
          </w:p>
        </w:tc>
        <w:tc>
          <w:tcPr>
            <w:tcW w:type="pct" w:w="1250"/>
          </w:tcPr>
          <w:p>
            <w:r>
              <w:rPr>
                <w:highlight w:val="yellow"/>
              </w:rPr>
              <w:t xml:space="preserve">[Use]</w:t>
            </w:r>
          </w:p>
        </w:tc>
        <w:tc>
          <w:tcPr>
            <w:tcW w:type="pct" w:w="1250"/>
          </w:tcPr>
          <w:p>
            <w:r>
              <w:rPr>
                <w:highlight w:val="yellow"/>
              </w:rPr>
              <w:t xml:space="preserve">[Green / Yellow]</w:t>
            </w:r>
          </w:p>
        </w:tc>
      </w:tr>
    </w:tbl>
    <w:p/>
    <w:p>
      <w:r>
        <w:rPr>
          <w:b/>
          <w:bCs/>
        </w:rPr>
        <w:t xml:space="preserve">New tools:</w:t>
      </w:r>
      <w:r>
        <w:t xml:space="preserve"> anyone who wants to use another AI tool asks the AI lead. Before approving a tool, the AI lead checks at least:</w:t>
      </w:r>
    </w:p>
    <w:p>
      <w:pPr>
        <w:pStyle w:val="ListParagraph"/>
        <w:numPr>
          <w:ilvl w:val="0"/>
          <w:numId w:val="1"/>
        </w:numPr>
      </w:pPr>
      <w:r>
        <w:t xml:space="preserve">whether a business account with a data processing agreement is available;</w:t>
      </w:r>
    </w:p>
    <w:p>
      <w:pPr>
        <w:pStyle w:val="ListParagraph"/>
        <w:numPr>
          <w:ilvl w:val="0"/>
          <w:numId w:val="1"/>
        </w:numPr>
      </w:pPr>
      <w:r>
        <w:t xml:space="preserve">whether the provider's use of our data for training is excluded;</w:t>
      </w:r>
    </w:p>
    <w:p>
      <w:pPr>
        <w:pStyle w:val="ListParagraph"/>
        <w:numPr>
          <w:ilvl w:val="0"/>
          <w:numId w:val="1"/>
        </w:numPr>
      </w:pPr>
      <w:r>
        <w:t xml:space="preserve">where data is processed and stored, and whether disclosure abroad is permitted (FADP Art. 16–17);</w:t>
      </w:r>
    </w:p>
    <w:p>
      <w:pPr>
        <w:pStyle w:val="ListParagraph"/>
        <w:numPr>
          <w:ilvl w:val="0"/>
          <w:numId w:val="1"/>
        </w:numPr>
      </w:pPr>
      <w:r>
        <w:t xml:space="preserve">which data level the tool should be approved for.</w:t>
      </w:r>
    </w:p>
    <w:p>
      <w:r>
        <w:t xml:space="preserve">Using personal or free accounts for work data is </w:t>
      </w:r>
      <w:r>
        <w:rPr>
          <w:b/>
          <w:bCs/>
        </w:rPr>
        <w:t xml:space="preserve">not allowed</w:t>
      </w:r>
      <w:r>
        <w:t xml:space="preserve">, even if the tool itself is approved.</w:t>
      </w:r>
    </w:p>
    <w:p>
      <w:r>
        <w:rPr>
          <w:b/>
          <w:bCs/>
        </w:rPr>
        <w:t xml:space="preserve">Add-ons and connectors:</w:t>
      </w:r>
      <w:r>
        <w:t xml:space="preserve"> AI browser extensions, plug-ins and connections that give an AI tool access to email, files or other systems count as tools in their own right and also need approval.</w:t>
      </w:r>
    </w:p>
    <w:p>
      <w:pPr>
        <w:pStyle w:val="Heading1"/>
      </w:pPr>
      <w:r>
        <w:t xml:space="preserve">4. What data may go into AI tools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EEF2F7" w:color="auto" w:val="clear"/>
          </w:tcPr>
          <w:p>
            <w:r>
              <w:rPr>
                <w:b/>
                <w:bCs/>
              </w:rPr>
              <w:t xml:space="preserve">Level</w:t>
            </w:r>
          </w:p>
        </w:tc>
        <w:tc>
          <w:tcPr>
            <w:tcW w:type="pct" w:w="1650"/>
            <w:shd w:fill="EEF2F7" w:color="auto" w:val="clear"/>
          </w:tcPr>
          <w:p>
            <w:r>
              <w:rPr>
                <w:b/>
                <w:bCs/>
              </w:rPr>
              <w:t xml:space="preserve">Examples</w:t>
            </w:r>
          </w:p>
        </w:tc>
        <w:tc>
          <w:tcPr>
            <w:tcW w:type="pct" w:w="1650"/>
            <w:shd w:fill="EEF2F7" w:color="auto" w:val="clear"/>
          </w:tcPr>
          <w:p>
            <w:r>
              <w:rPr>
                <w:b/>
                <w:bCs/>
              </w:rPr>
              <w:t xml:space="preserve">Rule</w:t>
            </w:r>
          </w:p>
        </w:tc>
      </w:tr>
      <w:tr>
        <w:tc>
          <w:tcPr>
            <w:tcW w:type="pct" w:w="1650"/>
          </w:tcPr>
          <w:p>
            <w:r>
              <w:t xml:space="preserve">🟢 </w:t>
            </w:r>
            <w:r>
              <w:rPr>
                <w:b/>
                <w:bCs/>
              </w:rPr>
              <w:t xml:space="preserve">Green</w:t>
            </w:r>
            <w:r>
              <w:t xml:space="preserve"> (public)</w:t>
            </w:r>
          </w:p>
        </w:tc>
        <w:tc>
          <w:tcPr>
            <w:tcW w:type="pct" w:w="1650"/>
          </w:tcPr>
          <w:p>
            <w:r>
              <w:t xml:space="preserve">Publicly available information, general questions, your own text with no confidential content</w:t>
            </w:r>
          </w:p>
        </w:tc>
        <w:tc>
          <w:tcPr>
            <w:tcW w:type="pct" w:w="1650"/>
          </w:tcPr>
          <w:p>
            <w:r>
              <w:t xml:space="preserve">Allowed in all approved tools.</w:t>
            </w:r>
          </w:p>
        </w:tc>
      </w:tr>
      <w:tr>
        <w:tc>
          <w:tcPr>
            <w:tcW w:type="pct" w:w="1650"/>
          </w:tcPr>
          <w:p>
            <w:r>
              <w:t xml:space="preserve">🟡 </w:t>
            </w:r>
            <w:r>
              <w:rPr>
                <w:b/>
                <w:bCs/>
              </w:rPr>
              <w:t xml:space="preserve">Yellow</w:t>
            </w:r>
            <w:r>
              <w:t xml:space="preserve"> (internal / personal data)</w:t>
            </w:r>
          </w:p>
        </w:tc>
        <w:tc>
          <w:tcPr>
            <w:tcW w:type="pct" w:w="1650"/>
          </w:tcPr>
          <w:p>
            <w:r>
              <w:t xml:space="preserve">Internal documents, quotes, names and contact details of customers or employees, customer correspondence</w:t>
            </w:r>
          </w:p>
        </w:tc>
        <w:tc>
          <w:tcPr>
            <w:tcW w:type="pct" w:w="1650"/>
          </w:tcPr>
          <w:p>
            <w:r>
              <w:t xml:space="preserve">Only in tools approved for "Yellow" in section 3. Use only as much data as needed; anonymise or leave out names where possible.</w:t>
            </w:r>
          </w:p>
        </w:tc>
      </w:tr>
      <w:tr>
        <w:tc>
          <w:tcPr>
            <w:tcW w:type="pct" w:w="1650"/>
          </w:tcPr>
          <w:p>
            <w:r>
              <w:t xml:space="preserve">🔴 </w:t>
            </w:r>
            <w:r>
              <w:rPr>
                <w:b/>
                <w:bCs/>
              </w:rPr>
              <w:t xml:space="preserve">Red</w:t>
            </w:r>
            <w:r>
              <w:t xml:space="preserve"> (strictly confidential / sensitive)</w:t>
            </w:r>
          </w:p>
        </w:tc>
        <w:tc>
          <w:tcPr>
            <w:tcW w:type="pct" w:w="1650"/>
          </w:tcPr>
          <w:p>
            <w:r>
              <w:t xml:space="preserve">Health data; information on religion, politics, criminal proceedings or social assistance (sensitive personal data, FADP Art. 5 lit. c); data covered by professional secrecy; customers' business secrets; passwords, login details, bank and card data</w:t>
            </w:r>
          </w:p>
        </w:tc>
        <w:tc>
          <w:tcPr>
            <w:tcW w:type="pct" w:w="1650"/>
          </w:tcPr>
          <w:p>
            <w:r>
              <w:rPr>
                <w:b/>
                <w:bCs/>
              </w:rPr>
              <w:t xml:space="preserve">Never</w:t>
            </w:r>
            <w:r>
              <w:t xml:space="preserve"> enter into AI tools, unless the AI lead has approved a specific tool for a specific purpose in writing.</w:t>
            </w:r>
          </w:p>
        </w:tc>
      </w:tr>
    </w:tbl>
    <w:p/>
    <w:p>
      <w:r>
        <w:t xml:space="preserve">If you are unsure which level applies, treat the data as the next level up.</w:t>
      </w:r>
    </w:p>
    <w:p>
      <w:pPr>
        <w:pStyle w:val="Heading1"/>
      </w:pPr>
      <w:r>
        <w:t xml:space="preserve">5. Using AI results</w:t>
      </w:r>
    </w:p>
    <w:p>
      <w:pPr>
        <w:pStyle w:val="ListParagraph"/>
        <w:numPr>
          <w:ilvl w:val="0"/>
          <w:numId w:val="3"/>
        </w:numPr>
      </w:pPr>
      <w:r>
        <w:rPr>
          <w:b/>
          <w:bCs/>
        </w:rPr>
        <w:t xml:space="preserve">Check the content.</w:t>
      </w:r>
      <w:r>
        <w:t xml:space="preserve"> Facts, figures, quotes, sources and calculations are checked before use. AI results are never the only basis for legal, tax, medical or financial statements.</w:t>
      </w:r>
    </w:p>
    <w:p>
      <w:pPr>
        <w:pStyle w:val="ListParagraph"/>
        <w:numPr>
          <w:ilvl w:val="0"/>
          <w:numId w:val="3"/>
        </w:numPr>
      </w:pPr>
      <w:r>
        <w:rPr>
          <w:b/>
          <w:bCs/>
        </w:rPr>
        <w:t xml:space="preserve">Respect others' rights.</w:t>
      </w:r>
      <w:r>
        <w:t xml:space="preserve"> AI-generated text, images and code can infringe third-party rights. Use common sense before publishing them or passing them to customers; if in doubt, ask the AI lead.</w:t>
      </w:r>
    </w:p>
    <w:p>
      <w:pPr>
        <w:pStyle w:val="ListParagraph"/>
        <w:numPr>
          <w:ilvl w:val="0"/>
          <w:numId w:val="3"/>
        </w:numPr>
      </w:pPr>
      <w:r>
        <w:rPr>
          <w:b/>
          <w:bCs/>
        </w:rPr>
        <w:t xml:space="preserve">No decisions about people without a person.</w:t>
      </w:r>
      <w:r>
        <w:t xml:space="preserve"> AI may prepare decisions about people (e.g. job applications, creditworthiness, prices, terminations) but may not make them alone. A person reviews every such decision on its merits and records how it was decided. Affected people can ask for a person to assess their case (FADP Art. 21).</w:t>
      </w:r>
    </w:p>
    <w:p>
      <w:pPr>
        <w:pStyle w:val="ListParagraph"/>
        <w:numPr>
          <w:ilvl w:val="0"/>
          <w:numId w:val="3"/>
        </w:numPr>
      </w:pPr>
      <w:r>
        <w:rPr>
          <w:b/>
          <w:bCs/>
        </w:rPr>
        <w:t xml:space="preserve">Label where needed.</w:t>
      </w:r>
      <w:r>
        <w:t xml:space="preserve"> Content mostly created by AI and intended for the public is </w:t>
      </w:r>
      <w:r>
        <w:rPr>
          <w:highlight w:val="yellow"/>
        </w:rPr>
        <w:t xml:space="preserve">[labelled as AI-generated / labelled as agreed with the AI lead]</w:t>
      </w:r>
      <w:r>
        <w:t xml:space="preserve">.</w:t>
      </w:r>
    </w:p>
    <w:p>
      <w:pPr>
        <w:pStyle w:val="ListParagraph"/>
        <w:numPr>
          <w:ilvl w:val="0"/>
          <w:numId w:val="3"/>
        </w:numPr>
      </w:pPr>
      <w:r>
        <w:rPr>
          <w:b/>
          <w:bCs/>
        </w:rPr>
        <w:t xml:space="preserve">AI that acts on its own.</w:t>
      </w:r>
      <w:r>
        <w:t xml:space="preserve"> AI tools that can take actions themselves (e.g. send emails, book, pay, delete) get only the access they need for their task. A person confirms any action that can't be undone before it happens. Outside content (incoming emails, web pages, documents) can contain hidden instructions for the AI and is treated as untrusted.</w:t>
      </w:r>
    </w:p>
    <w:p>
      <w:pPr>
        <w:pStyle w:val="ListParagraph"/>
        <w:numPr>
          <w:ilvl w:val="0"/>
          <w:numId w:val="3"/>
        </w:numPr>
      </w:pPr>
      <w:r>
        <w:rPr>
          <w:b/>
          <w:bCs/>
        </w:rPr>
        <w:t xml:space="preserve">Check unusual requests.</w:t>
      </w:r>
      <w:r>
        <w:t xml:space="preserve"> Payment and data requests are confirmed through a second channel (e.g. calling back on a known number), however convincing the email, voice or video seems. AI can fake voices and faces convincingly.</w:t>
      </w:r>
    </w:p>
    <w:p>
      <w:pPr>
        <w:pStyle w:val="Heading1"/>
      </w:pPr>
      <w:r>
        <w:t xml:space="preserve">6. Transparency towards others</w:t>
      </w:r>
    </w:p>
    <w:p>
      <w:pPr>
        <w:pStyle w:val="ListParagraph"/>
        <w:numPr>
          <w:ilvl w:val="0"/>
          <w:numId w:val="1"/>
        </w:numPr>
      </w:pPr>
      <w:r>
        <w:t xml:space="preserve">Chatbots and other AI systems that customers or applicants interact with directly are clearly identifiable as AI.</w:t>
      </w:r>
    </w:p>
    <w:p>
      <w:pPr>
        <w:pStyle w:val="ListParagraph"/>
        <w:numPr>
          <w:ilvl w:val="0"/>
          <w:numId w:val="1"/>
        </w:numPr>
      </w:pPr>
      <w:r>
        <w:t xml:space="preserve">The AI lead makes sure the privacy notice names the AI tools used to process personal data and describes the purpose (FADP Art. 19).</w:t>
      </w:r>
    </w:p>
    <w:p>
      <w:pPr>
        <w:pStyle w:val="Heading1"/>
      </w:pPr>
      <w:r>
        <w:t xml:space="preserve">7. Prohibited uses</w:t>
      </w:r>
    </w:p>
    <w:p>
      <w:r>
        <w:t xml:space="preserve">The following are not allowed:</w:t>
      </w:r>
    </w:p>
    <w:p>
      <w:pPr>
        <w:pStyle w:val="ListParagraph"/>
        <w:numPr>
          <w:ilvl w:val="0"/>
          <w:numId w:val="1"/>
        </w:numPr>
      </w:pPr>
      <w:r>
        <w:t xml:space="preserve">using AI to deceive people, e.g. fake reviews, or realistic fake images, voices or videos of real people;</w:t>
      </w:r>
    </w:p>
    <w:p>
      <w:pPr>
        <w:pStyle w:val="ListParagraph"/>
        <w:numPr>
          <w:ilvl w:val="0"/>
          <w:numId w:val="1"/>
        </w:numPr>
      </w:pPr>
      <w:r>
        <w:t xml:space="preserve">using AI to monitor employees' behaviour (ArGV 3 Art. 26);</w:t>
      </w:r>
    </w:p>
    <w:p>
      <w:pPr>
        <w:pStyle w:val="ListParagraph"/>
        <w:numPr>
          <w:ilvl w:val="0"/>
          <w:numId w:val="1"/>
        </w:numPr>
      </w:pPr>
      <w:r>
        <w:t xml:space="preserve">using unchecked AI results as the basis for decisions about people (see section 5);</w:t>
      </w:r>
    </w:p>
    <w:p>
      <w:pPr>
        <w:pStyle w:val="ListParagraph"/>
        <w:numPr>
          <w:ilvl w:val="0"/>
          <w:numId w:val="1"/>
        </w:numPr>
      </w:pPr>
      <w:r>
        <w:t xml:space="preserve">bypassing the safeguards of AI tools or of our IT;</w:t>
      </w:r>
    </w:p>
    <w:p>
      <w:pPr>
        <w:pStyle w:val="ListParagraph"/>
        <w:numPr>
          <w:ilvl w:val="0"/>
          <w:numId w:val="1"/>
        </w:numPr>
      </w:pPr>
      <w:r>
        <w:rPr>
          <w:highlight w:val="yellow"/>
        </w:rPr>
        <w:t xml:space="preserve">[other company-specific prohibitions]</w:t>
      </w:r>
      <w:r>
        <w:t xml:space="preserve">.</w:t>
      </w:r>
    </w:p>
    <w:p>
      <w:pPr>
        <w:pStyle w:val="Heading1"/>
      </w:pPr>
      <w:r>
        <w:t xml:space="preserve">8. Responsibilities</w:t>
      </w:r>
    </w:p>
    <w:p>
      <w:r>
        <w:rPr>
          <w:b/>
          <w:bCs/>
        </w:rPr>
        <w:t xml:space="preserve">The AI lead</w:t>
      </w:r>
    </w:p>
    <w:p>
      <w:pPr>
        <w:pStyle w:val="ListParagraph"/>
        <w:numPr>
          <w:ilvl w:val="0"/>
          <w:numId w:val="1"/>
        </w:numPr>
      </w:pPr>
      <w:r>
        <w:t xml:space="preserve">keeps the list of approved tools (annex) up to date;</w:t>
      </w:r>
    </w:p>
    <w:p>
      <w:pPr>
        <w:pStyle w:val="ListParagraph"/>
        <w:numPr>
          <w:ilvl w:val="0"/>
          <w:numId w:val="1"/>
        </w:numPr>
      </w:pPr>
      <w:r>
        <w:t xml:space="preserve">decides on requests for new tools;</w:t>
      </w:r>
    </w:p>
    <w:p>
      <w:pPr>
        <w:pStyle w:val="ListParagraph"/>
        <w:numPr>
          <w:ilvl w:val="0"/>
          <w:numId w:val="1"/>
        </w:numPr>
      </w:pPr>
      <w:r>
        <w:t xml:space="preserve">answers questions about this policy;</w:t>
      </w:r>
    </w:p>
    <w:p>
      <w:pPr>
        <w:pStyle w:val="ListParagraph"/>
        <w:numPr>
          <w:ilvl w:val="0"/>
          <w:numId w:val="1"/>
        </w:numPr>
      </w:pPr>
      <w:r>
        <w:t xml:space="preserve">organises training (section 9) and handles incidents (section 10);</w:t>
      </w:r>
    </w:p>
    <w:p>
      <w:pPr>
        <w:pStyle w:val="ListParagraph"/>
        <w:numPr>
          <w:ilvl w:val="0"/>
          <w:numId w:val="1"/>
        </w:numPr>
      </w:pPr>
      <w:r>
        <w:t xml:space="preserve">reviews this policy at least once a year.</w:t>
      </w:r>
    </w:p>
    <w:p>
      <w:r>
        <w:rPr>
          <w:b/>
          <w:bCs/>
        </w:rPr>
        <w:t xml:space="preserve">Managers</w:t>
      </w:r>
      <w:r>
        <w:t xml:space="preserve"> make sure their team knows and follows this policy.</w:t>
      </w:r>
    </w:p>
    <w:p>
      <w:r>
        <w:rPr>
          <w:b/>
          <w:bCs/>
        </w:rPr>
        <w:t xml:space="preserve">All employees</w:t>
      </w:r>
      <w:r>
        <w:t xml:space="preserve"> follow this policy and report anything unclear and any incidents.</w:t>
      </w:r>
    </w:p>
    <w:p>
      <w:pPr>
        <w:pStyle w:val="Heading1"/>
      </w:pPr>
      <w:r>
        <w:t xml:space="preserve">9. Training</w:t>
      </w:r>
    </w:p>
    <w:p>
      <w:r>
        <w:t xml:space="preserve">Anyone who uses AI tools is trained before first use and then </w:t>
      </w:r>
      <w:r>
        <w:rPr>
          <w:highlight w:val="yellow"/>
        </w:rPr>
        <w:t xml:space="preserve">[every year]</w:t>
      </w:r>
      <w:r>
        <w:t xml:space="preserve">: what AI does well and badly, what data must not go in and how to check results. The AI lead records who was trained and when.</w:t>
      </w:r>
    </w:p>
    <w:p>
      <w:pPr>
        <w:pStyle w:val="Heading1"/>
      </w:pPr>
      <w:r>
        <w:t xml:space="preserve">10. Incidents</w:t>
      </w:r>
    </w:p>
    <w:p>
      <w:r>
        <w:t xml:space="preserve">Report </w:t>
      </w:r>
      <w:r>
        <w:rPr>
          <w:b/>
          <w:bCs/>
        </w:rPr>
        <w:t xml:space="preserve">immediately</w:t>
      </w:r>
      <w:r>
        <w:t xml:space="preserve"> to </w:t>
      </w:r>
      <w:r>
        <w:rPr>
          <w:highlight w:val="yellow"/>
        </w:rPr>
        <w:t xml:space="preserve">[name / email / phone]</w:t>
      </w:r>
      <w:r>
        <w:t xml:space="preserve"> if:</w:t>
      </w:r>
    </w:p>
    <w:p>
      <w:pPr>
        <w:pStyle w:val="ListParagraph"/>
        <w:numPr>
          <w:ilvl w:val="0"/>
          <w:numId w:val="1"/>
        </w:numPr>
      </w:pPr>
      <w:r>
        <w:t xml:space="preserve">Yellow or Red data has gone into a tool not approved for it;</w:t>
      </w:r>
    </w:p>
    <w:p>
      <w:pPr>
        <w:pStyle w:val="ListParagraph"/>
        <w:numPr>
          <w:ilvl w:val="0"/>
          <w:numId w:val="1"/>
        </w:numPr>
      </w:pPr>
      <w:r>
        <w:t xml:space="preserve">a wrong AI result has reached a customer or someone outside the company;</w:t>
      </w:r>
    </w:p>
    <w:p>
      <w:pPr>
        <w:pStyle w:val="ListParagraph"/>
        <w:numPr>
          <w:ilvl w:val="0"/>
          <w:numId w:val="1"/>
        </w:numPr>
      </w:pPr>
      <w:r>
        <w:t xml:space="preserve">you suspect an AI tool or account is being misused, or that an AI tool did something nobody asked it to;</w:t>
      </w:r>
    </w:p>
    <w:p>
      <w:pPr>
        <w:pStyle w:val="ListParagraph"/>
        <w:numPr>
          <w:ilvl w:val="0"/>
          <w:numId w:val="1"/>
        </w:numPr>
      </w:pPr>
      <w:r>
        <w:t xml:space="preserve">you received a suspicious request that might be faked (e.g. a call or video from management with an urgent payment instruction).</w:t>
      </w:r>
    </w:p>
    <w:p>
      <w:r>
        <w:t xml:space="preserve">Reporting is encouraged and has no negative consequences if done promptly. The AI lead limits the damage, documents the incident and checks whether it must be reported to the Federal Data Protection and Information Commissioner (FDPIC) (FADP Art. 24) and whether affected people must be informed.</w:t>
      </w:r>
    </w:p>
    <w:p>
      <w:pPr>
        <w:pStyle w:val="Heading1"/>
      </w:pPr>
      <w:r>
        <w:t xml:space="preserve">11. Review and breaches</w:t>
      </w:r>
    </w:p>
    <w:p>
      <w:r>
        <w:t xml:space="preserve">This policy is reviewed at least once a year, and whenever new tools are introduced or legal requirements change.</w:t>
      </w:r>
    </w:p>
    <w:p>
      <w:r>
        <w:t xml:space="preserve">Breaches of this policy may lead to measures under employment law.</w:t>
      </w:r>
    </w:p>
    <w:p>
      <w:pPr>
        <w:pBdr>
          <w:bottom w:val="single" w:color="94A3B8" w:sz="6" w:space="1"/>
        </w:pBdr>
      </w:pPr>
    </w:p>
    <w:p>
      <w:pPr>
        <w:pStyle w:val="Heading1"/>
      </w:pPr>
      <w:r>
        <w:t xml:space="preserve">Acknowledgement</w:t>
      </w:r>
    </w:p>
    <w:p>
      <w:r>
        <w:t xml:space="preserve">I have read and understood the AI policy of </w:t>
      </w:r>
      <w:r>
        <w:rPr>
          <w:highlight w:val="yellow"/>
        </w:rPr>
        <w:t xml:space="preserve">[Company name]</w:t>
      </w:r>
      <w:r>
        <w:t xml:space="preserve"> (version </w:t>
      </w:r>
      <w:r>
        <w:rPr>
          <w:highlight w:val="yellow"/>
        </w:rPr>
        <w:t xml:space="preserve">[1.0]</w:t>
      </w:r>
      <w:r>
        <w:t xml:space="preserve">) and will follow 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EEF2F7" w:color="auto" w:val="clear"/>
          </w:tcPr>
          <w:p>
            <w:r>
              <w:rPr>
                <w:b/>
                <w:bCs/>
              </w:rPr>
              <w:t xml:space="preserve">Name</w:t>
            </w:r>
          </w:p>
        </w:tc>
        <w:tc>
          <w:tcPr>
            <w:tcW w:type="pct" w:w="1650"/>
            <w:shd w:fill="EEF2F7" w:color="auto" w:val="clear"/>
          </w:tcPr>
          <w:p>
            <w:r>
              <w:rPr>
                <w:b/>
                <w:bCs/>
              </w:rPr>
              <w:t xml:space="preserve">Date</w:t>
            </w:r>
          </w:p>
        </w:tc>
        <w:tc>
          <w:tcPr>
            <w:tcW w:type="pct" w:w="1650"/>
            <w:shd w:fill="EEF2F7" w:color="auto" w:val="clear"/>
          </w:tcPr>
          <w:p>
            <w:r>
              <w:rPr>
                <w:b/>
                <w:bCs/>
              </w:rPr>
              <w:t xml:space="preserve">Signature</w:t>
            </w:r>
          </w:p>
        </w:tc>
      </w:tr>
      <w:tr>
        <w:tc>
          <w:tcPr>
            <w:tcW w:type="pct" w:w="1650"/>
          </w:tcPr>
          <w:p/>
        </w:tc>
        <w:tc>
          <w:tcPr>
            <w:tcW w:type="pct" w:w="1650"/>
          </w:tcPr>
          <w:p/>
        </w:tc>
        <w:tc>
          <w:tcPr>
            <w:tcW w:type="pct" w:w="1650"/>
          </w:tcPr>
          <w:p/>
        </w:tc>
      </w:tr>
    </w:tbl>
    <w:p/>
    <w:p>
      <w:pPr>
        <w:pBdr>
          <w:bottom w:val="single" w:color="94A3B8" w:sz="6" w:space="1"/>
        </w:pBdr>
      </w:pPr>
    </w:p>
    <w:p>
      <w:pPr>
        <w:pStyle w:val="Heading1"/>
      </w:pPr>
      <w:r>
        <w:t xml:space="preserve">Annex: AI tool register</w:t>
      </w:r>
    </w:p>
    <w:p>
      <w:r>
        <w:rPr>
          <w:i/>
          <w:iCs/>
        </w:rPr>
        <w:t xml:space="preserve">Kept up to date by the AI lead. Lists every known AI tool, including rejected tools and tools still under review.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903"/>
        <w:gridCol w:w="903"/>
        <w:gridCol w:w="903"/>
        <w:gridCol w:w="903"/>
        <w:gridCol w:w="903"/>
        <w:gridCol w:w="903"/>
        <w:gridCol w:w="903"/>
        <w:gridCol w:w="903"/>
        <w:gridCol w:w="903"/>
      </w:tblGrid>
      <w:tr>
        <w:trPr>
          <w:tblHeader/>
        </w:trPr>
        <w:tc>
          <w:tcPr>
            <w:tcW w:type="pct" w:w="500"/>
            <w:shd w:fill="EEF2F7" w:color="auto" w:val="clear"/>
          </w:tcPr>
          <w:p>
            <w:r>
              <w:rPr>
                <w:b/>
                <w:bCs/>
              </w:rPr>
              <w:t xml:space="preserve">Tool</w:t>
            </w:r>
          </w:p>
        </w:tc>
        <w:tc>
          <w:tcPr>
            <w:tcW w:type="pct" w:w="500"/>
            <w:shd w:fill="EEF2F7" w:color="auto" w:val="clear"/>
          </w:tcPr>
          <w:p>
            <w:r>
              <w:rPr>
                <w:b/>
                <w:bCs/>
              </w:rPr>
              <w:t xml:space="preserve">Provider</w:t>
            </w:r>
          </w:p>
        </w:tc>
        <w:tc>
          <w:tcPr>
            <w:tcW w:type="pct" w:w="500"/>
            <w:shd w:fill="EEF2F7" w:color="auto" w:val="clear"/>
          </w:tcPr>
          <w:p>
            <w:r>
              <w:rPr>
                <w:b/>
                <w:bCs/>
              </w:rPr>
              <w:t xml:space="preserve">Status (approved / rejected / under review)</w:t>
            </w:r>
          </w:p>
        </w:tc>
        <w:tc>
          <w:tcPr>
            <w:tcW w:type="pct" w:w="500"/>
            <w:shd w:fill="EEF2F7" w:color="auto" w:val="clear"/>
          </w:tcPr>
          <w:p>
            <w:r>
              <w:rPr>
                <w:b/>
                <w:bCs/>
              </w:rPr>
              <w:t xml:space="preserve">Purpose</w:t>
            </w:r>
          </w:p>
        </w:tc>
        <w:tc>
          <w:tcPr>
            <w:tcW w:type="pct" w:w="500"/>
            <w:shd w:fill="EEF2F7" w:color="auto" w:val="clear"/>
          </w:tcPr>
          <w:p>
            <w:r>
              <w:rPr>
                <w:b/>
                <w:bCs/>
              </w:rPr>
              <w:t xml:space="preserve">Data level</w:t>
            </w:r>
          </w:p>
        </w:tc>
        <w:tc>
          <w:tcPr>
            <w:tcW w:type="pct" w:w="500"/>
            <w:shd w:fill="EEF2F7" w:color="auto" w:val="clear"/>
          </w:tcPr>
          <w:p>
            <w:r>
              <w:rPr>
                <w:b/>
                <w:bCs/>
              </w:rPr>
              <w:t xml:space="preserve">Data location</w:t>
            </w:r>
          </w:p>
        </w:tc>
        <w:tc>
          <w:tcPr>
            <w:tcW w:type="pct" w:w="500"/>
            <w:shd w:fill="EEF2F7" w:color="auto" w:val="clear"/>
          </w:tcPr>
          <w:p>
            <w:r>
              <w:rPr>
                <w:b/>
                <w:bCs/>
              </w:rPr>
              <w:t xml:space="preserve">Data processing agreement</w:t>
            </w:r>
          </w:p>
        </w:tc>
        <w:tc>
          <w:tcPr>
            <w:tcW w:type="pct" w:w="500"/>
            <w:shd w:fill="EEF2F7" w:color="auto" w:val="clear"/>
          </w:tcPr>
          <w:p>
            <w:r>
              <w:rPr>
                <w:b/>
                <w:bCs/>
              </w:rPr>
              <w:t xml:space="preserve">Training excluded</w:t>
            </w:r>
          </w:p>
        </w:tc>
        <w:tc>
          <w:tcPr>
            <w:tcW w:type="pct" w:w="500"/>
            <w:shd w:fill="EEF2F7" w:color="auto" w:val="clear"/>
          </w:tcPr>
          <w:p>
            <w:r>
              <w:rPr>
                <w:b/>
                <w:bCs/>
              </w:rPr>
              <w:t xml:space="preserve">Owner</w:t>
            </w:r>
          </w:p>
        </w:tc>
        <w:tc>
          <w:tcPr>
            <w:tcW w:type="pct" w:w="500"/>
            <w:shd w:fill="EEF2F7" w:color="auto" w:val="clear"/>
          </w:tcPr>
          <w:p>
            <w:r>
              <w:rPr>
                <w:b/>
                <w:bCs/>
              </w:rPr>
              <w:t xml:space="preserve">Last reviewed</w:t>
            </w:r>
          </w:p>
        </w:tc>
      </w:tr>
      <w:tr>
        <w:tc>
          <w:tcPr>
            <w:tcW w:type="pct" w:w="500"/>
          </w:tcPr>
          <w:p/>
        </w:tc>
        <w:tc>
          <w:tcPr>
            <w:tcW w:type="pct" w:w="500"/>
          </w:tcPr>
          <w:p/>
        </w:tc>
        <w:tc>
          <w:tcPr>
            <w:tcW w:type="pct" w:w="500"/>
          </w:tcPr>
          <w:p/>
        </w:tc>
        <w:tc>
          <w:tcPr>
            <w:tcW w:type="pct" w:w="500"/>
          </w:tcPr>
          <w:p/>
        </w:tc>
        <w:tc>
          <w:tcPr>
            <w:tcW w:type="pct" w:w="500"/>
          </w:tcPr>
          <w:p/>
        </w:tc>
        <w:tc>
          <w:tcPr>
            <w:tcW w:type="pct" w:w="500"/>
          </w:tcPr>
          <w:p/>
        </w:tc>
        <w:tc>
          <w:tcPr>
            <w:tcW w:type="pct" w:w="500"/>
          </w:tcPr>
          <w:p>
            <w:r>
              <w:t xml:space="preserve">yes / no</w:t>
            </w:r>
          </w:p>
        </w:tc>
        <w:tc>
          <w:tcPr>
            <w:tcW w:type="pct" w:w="500"/>
          </w:tcPr>
          <w:p>
            <w:r>
              <w:t xml:space="preserve">yes / no</w:t>
            </w:r>
          </w:p>
        </w:tc>
        <w:tc>
          <w:tcPr>
            <w:tcW w:type="pct" w:w="500"/>
          </w:tcPr>
          <w:p/>
        </w:tc>
        <w:tc>
          <w:tcPr>
            <w:tcW w:type="pct" w:w="500"/>
          </w:tcP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aicompliant.ch · Template: AI policy for Swiss SMEs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decimal"/>
      <w:lvlText w:val="%2."/>
      <w:lvlJc w:val="left"/>
      <w:pPr>
        <w:ind w:left="720" w:hanging="360"/>
      </w:pPr>
    </w:lvl>
    <w:lvl w:ilvl="2" w:tentative="1">
      <w:start w:val="1"/>
      <w:numFmt w:val="decimal"/>
      <w:lvlText w:val="%3."/>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AI policy for Swiss SMEs</dc:title>
  <dc:creator>aicompliant.ch</dc:creator>
  <cp:lastModifiedBy>Un-named</cp:lastModifiedBy>
  <cp:revision>1</cp:revision>
  <dcterms:created xsi:type="dcterms:W3CDTF">2026-10-02T12:38:52.159Z</dcterms:created>
  <dcterms:modified xsi:type="dcterms:W3CDTF">2026-10-02T12:38:52.159Z</dcterms:modified>
</cp:coreProperties>
</file>

<file path=docProps/custom.xml><?xml version="1.0" encoding="utf-8"?>
<Properties xmlns="http://schemas.openxmlformats.org/officeDocument/2006/custom-properties" xmlns:vt="http://schemas.openxmlformats.org/officeDocument/2006/docPropsVTypes"/>
</file>