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лабораторных работ, приобрести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Изучить идеологию и применение средств контроля версий, освоить умения по работе с git.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Oracle VM VirtualBox</w:t>
      </w:r>
      <w:r>
        <w:t xml:space="preserve"> </w:t>
      </w:r>
      <w:r>
        <w:t xml:space="preserve">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>
      <w:pPr>
        <w:pStyle w:val="BodyText"/>
      </w:pPr>
      <w:r>
        <w:rPr>
          <w:b/>
          <w:bCs/>
        </w:rPr>
        <w:t xml:space="preserve">Системы контроля версий (Version Control System, VCS)</w:t>
      </w:r>
      <w:r>
        <w:t xml:space="preserve"> </w:t>
      </w:r>
      <w:r>
        <w:t xml:space="preserve">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 [2]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дельта-компрессию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</w:p>
    <w:p>
      <w:pPr>
        <w:pStyle w:val="BodyText"/>
      </w:pP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</w:t>
      </w:r>
      <w:r>
        <w:t xml:space="preserve"> </w:t>
      </w:r>
      <w:r>
        <w:t xml:space="preserve">рода информация хранится в журнале изменений, доступ к которому можно ограничить.</w:t>
      </w:r>
    </w:p>
    <w:p>
      <w:pPr>
        <w:pStyle w:val="BodyText"/>
      </w:pP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</w:p>
    <w:p>
      <w:pPr>
        <w:pStyle w:val="BodyText"/>
      </w:pP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p>
      <w:pPr>
        <w:pStyle w:val="BodyText"/>
      </w:pPr>
      <w:r>
        <w:t xml:space="preserve">Примеры команд для Git: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Название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Клонирование репозитория на ПК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-m "Initial Commit"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Оставление коммита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Загрузка изменений на гит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Конвертация файла .md</w:t>
            </w:r>
          </w:p>
        </w:tc>
      </w:tr>
    </w:tbl>
    <w:p>
      <w:pPr>
        <w:pStyle w:val="BodyText"/>
      </w:pPr>
      <w:r>
        <w:rPr>
          <w:b/>
          <w:bCs/>
        </w:rPr>
        <w:t xml:space="preserve">Markdown</w:t>
      </w:r>
      <w:r>
        <w:t xml:space="preserve"> </w:t>
      </w:r>
      <w:r>
        <w:t xml:space="preserve">- это легковесный язык разметки, который широко используется для создания форматированного текста в веб-среде. Его простота и читаемость делают его популярным среди разработчиков, писателей и блогеров. Синтаксис Markdown состоит из простых символов и правил форматирования, которые позволяют создавать заголовки, списки, ссылки, изображения и другие элементы веб-страниц без необходимости использовать сложные HTML-теги. Он также легко читается в исходном виде и может быть конвертирован в различные форматы, такие как HTML, PDF или документы Microsoft Word, делая Markdown удобным инструментом для создания содержательного и красочного контента в интернете. [3]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рабочего-пространств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рабочего пространства</w:t>
      </w:r>
    </w:p>
    <w:p>
      <w:pPr>
        <w:pStyle w:val="CaptionedFigure"/>
      </w:pPr>
      <w:r>
        <w:drawing>
          <wp:inline>
            <wp:extent cx="5334000" cy="3039702"/>
            <wp:effectExtent b="0" l="0" r="0" t="0"/>
            <wp:docPr descr="(рис. 1. Проверка рабочего пространства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(рис. 1. Проверка рабочего пространства)</w:t>
      </w:r>
    </w:p>
    <w:bookmarkEnd w:id="25"/>
    <w:bookmarkStart w:id="32" w:name="Xd300e101f035699741e428a402fa882e2bd8c60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и конфигурация операционной системы на виртуальную машину</w:t>
      </w:r>
    </w:p>
    <w:p>
      <w:pPr>
        <w:pStyle w:val="CaptionedFigure"/>
      </w:pPr>
      <w:r>
        <w:drawing>
          <wp:inline>
            <wp:extent cx="5334000" cy="3695186"/>
            <wp:effectExtent b="0" l="0" r="0" t="0"/>
            <wp:docPr descr="(рис. 2. Общие настройки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(рис. 2. Общие настройки)</w:t>
      </w:r>
    </w:p>
    <w:p>
      <w:pPr>
        <w:pStyle w:val="CaptionedFigure"/>
      </w:pPr>
      <w:r>
        <w:drawing>
          <wp:inline>
            <wp:extent cx="5334000" cy="3681211"/>
            <wp:effectExtent b="0" l="0" r="0" t="0"/>
            <wp:docPr descr="(рис. 3. Запуск системы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(рис. 3. Запуск системы)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Было настроено рабочее пространство для лабораторных работ, приобретены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Были изучены идеология и применение средств контроля версий, освоены умения по работе с git.</w:t>
      </w:r>
      <w:r>
        <w:t xml:space="preserve"> </w:t>
      </w:r>
      <w:r>
        <w:t xml:space="preserve">Были приобретены практические навыки оформляения отчётов с помощью легковесного языка разметки Markdown.</w:t>
      </w:r>
    </w:p>
    <w:bookmarkEnd w:id="34"/>
    <w:bookmarkStart w:id="35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2024-09-03T08:11:58Z</dcterms:created>
  <dcterms:modified xsi:type="dcterms:W3CDTF">2024-09-03T08:11:58Z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Настройка рабочего пространства и конфигурация операционной системы на виртуальную машину. Система контроля версий Git. Язык разметки 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