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59: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0.9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77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#case 1</w:t>
      </w:r>
      <w:r>
        <w:br/>
      </w:r>
      <w:r>
        <w:rPr>
          <w:rStyle w:val="VerbatimChar"/>
        </w:rPr>
        <w:t xml:space="preserve"># x'' + 30x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0.0</w:t>
      </w:r>
      <w:r>
        <w:br/>
      </w:r>
      <w:r>
        <w:rPr>
          <w:rStyle w:val="VerbatimChar"/>
        </w:rPr>
        <w:t xml:space="preserve">const y = -0.6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(30)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#case 2</w:t>
      </w:r>
      <w:r>
        <w:br/>
      </w:r>
      <w:r>
        <w:rPr>
          <w:rStyle w:val="VerbatimChar"/>
        </w:rPr>
        <w:t xml:space="preserve"># x'' + 10x' + 20x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-0.6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(sqrt(10), 20)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#case 3</w:t>
      </w:r>
      <w:r>
        <w:br/>
      </w:r>
      <w:r>
        <w:rPr>
          <w:rStyle w:val="VerbatimChar"/>
        </w:rPr>
        <w:t xml:space="preserve"># x'' + 17x' + 3x = 0.9cos(10t)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+ 0.9*cos(10*t)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-0.6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(sqrt(17), 3)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24"/>
    <w:bookmarkStart w:id="43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x''+ 30x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-0.6;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+ 10x' + 20x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sqrt(10.00);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-0.6;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+ 17x' + 3x = 0.9cos(10t)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sqrt(3.0);  </w:t>
      </w:r>
      <w:r>
        <w:br/>
      </w:r>
      <w:r>
        <w:rPr>
          <w:rStyle w:val="VerbatimChar"/>
        </w:rPr>
        <w:t xml:space="preserve">parameter Real g = sqrt(17.0);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-0.6;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0.9*cos(10*t);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lab4_3;</w:t>
      </w:r>
    </w:p>
    <w:bookmarkStart w:id="63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937765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937765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937765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937765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937765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937765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И. Е.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Выполнил: Махорин Иван Сергеевич, НПИбд-02-21, 1032211221</dc:creator>
  <dc:language>ru-RU</dc:language>
  <cp:keywords/>
  <dcterms:created xsi:type="dcterms:W3CDTF">2024-02-29T00:11:48Z</dcterms:created>
  <dcterms:modified xsi:type="dcterms:W3CDTF">2024-02-29T00:11:48Z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гармонических колебаний.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