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r>
        <w:t>InfoVisitas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7A213C3D" w:rsidR="00EA243A" w:rsidRDefault="00EA243A" w:rsidP="000E6B69">
      <w:pPr>
        <w:pStyle w:val="ListParagraph"/>
        <w:numPr>
          <w:ilvl w:val="0"/>
          <w:numId w:val="1"/>
        </w:numPr>
      </w:pPr>
      <w:r>
        <w:t>InfoVisitas – Asesor: Una visita puede ser guiada por uno o más asesores, y un asesor puede guiar una o más visitas (N:M)</w:t>
      </w:r>
    </w:p>
    <w:sectPr w:rsidR="00EA243A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854DA6"/>
    <w:rsid w:val="00973FCD"/>
    <w:rsid w:val="00A0158E"/>
    <w:rsid w:val="00B46D0E"/>
    <w:rsid w:val="00BF7146"/>
    <w:rsid w:val="00D919A6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4</cp:revision>
  <dcterms:created xsi:type="dcterms:W3CDTF">2023-02-13T02:43:00Z</dcterms:created>
  <dcterms:modified xsi:type="dcterms:W3CDTF">2023-02-13T03:15:00Z</dcterms:modified>
</cp:coreProperties>
</file>