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color w:val="0F1E41"/>
          <w:sz w:val="26"/>
        </w:rPr>
        <w:t>Kandivli Education Society's</w:t>
        <w:br/>
      </w:r>
      <w:r>
        <w:rPr>
          <w:rFonts w:ascii="Times New Roman" w:hAnsi="Times New Roman"/>
          <w:b/>
          <w:color w:val="0F1E41"/>
          <w:sz w:val="30"/>
        </w:rPr>
        <w:t>BK Shroff College of Arts &amp; MH Shroff College of Commerce</w:t>
        <w:br/>
      </w:r>
      <w:r>
        <w:rPr>
          <w:rFonts w:ascii="Times New Roman" w:hAnsi="Times New Roman"/>
          <w:color w:val="46505F"/>
          <w:sz w:val="20"/>
        </w:rPr>
        <w:t>(Autonomous College | NAAC Re-accredited 'A' Grade | ISO 9001:2015 Certified)</w:t>
        <w:br/>
        <w:t>Bhulabhai Patel Road, Kandivali (West), Mumbai - 400067</w:t>
      </w:r>
    </w:p>
    <w:p>
      <w:pPr>
        <w:spacing w:before="300" w:after="300" w:line="276" w:lineRule="auto"/>
        <w:jc w:val="center"/>
      </w:pPr>
      <w:r>
        <w:rPr>
          <w:color w:val="B4BEC8"/>
        </w:rPr>
        <w:t>——————————————————————————————————————</w:t>
      </w:r>
    </w:p>
    <w:p>
      <w:pPr>
        <w:spacing w:before="200" w:after="120" w:line="276" w:lineRule="auto"/>
        <w:jc w:val="center"/>
      </w:pPr>
      <w:r>
        <w:rPr>
          <w:rFonts w:ascii="Times New Roman" w:hAnsi="Times New Roman"/>
          <w:b/>
          <w:color w:val="646E7D"/>
          <w:sz w:val="24"/>
        </w:rPr>
        <w:t>A CAPSTONE PROJECT REPORT ON</w:t>
        <w:br/>
      </w:r>
    </w:p>
    <w:p>
      <w:pPr>
        <w:spacing w:before="240" w:after="160" w:line="276" w:lineRule="auto"/>
        <w:jc w:val="center"/>
      </w:pPr>
      <w:r>
        <w:rPr>
          <w:rFonts w:ascii="Times New Roman" w:hAnsi="Times New Roman"/>
          <w:b/>
          <w:color w:val="0F234B"/>
          <w:sz w:val="36"/>
        </w:rPr>
        <w:t>SURVIVAL-BASED CHURN MODELING WITH PERSONALIZED RETENTION TREATMENT RANKING</w:t>
      </w:r>
    </w:p>
    <w:p>
      <w:pPr>
        <w:spacing w:before="80" w:after="400" w:line="276" w:lineRule="auto"/>
        <w:jc w:val="center"/>
      </w:pPr>
      <w:r>
        <w:rPr>
          <w:rFonts w:ascii="Times New Roman" w:hAnsi="Times New Roman"/>
          <w:i/>
          <w:color w:val="283C5A"/>
          <w:sz w:val="24"/>
        </w:rPr>
        <w:t>(RetainIQ  |  Project ID: BDS-11)</w:t>
      </w:r>
    </w:p>
    <w:p>
      <w:pPr>
        <w:spacing w:before="200" w:after="80" w:line="276" w:lineRule="auto"/>
        <w:jc w:val="center"/>
      </w:pPr>
      <w:r>
        <w:rPr>
          <w:rFonts w:ascii="Times New Roman" w:hAnsi="Times New Roman"/>
          <w:color w:val="505A64"/>
          <w:sz w:val="21"/>
        </w:rPr>
        <w:t>SUBMITTED IN PARTIAL FULFILLMENT OF THE REQUIREMENTS</w:t>
        <w:br/>
        <w:t>FOR THE DEGREE OF</w:t>
        <w:br/>
      </w:r>
      <w:r>
        <w:rPr>
          <w:rFonts w:ascii="Times New Roman" w:hAnsi="Times New Roman"/>
          <w:b/>
          <w:color w:val="141E32"/>
          <w:sz w:val="26"/>
        </w:rPr>
        <w:t>BACHELOR OF SCIENCE (DATA SCIENCE)</w:t>
      </w:r>
    </w:p>
    <w:p>
      <w:pPr>
        <w:spacing w:before="500" w:after="80" w:line="276" w:lineRule="auto"/>
        <w:jc w:val="center"/>
      </w:pPr>
      <w:r>
        <w:rPr>
          <w:rFonts w:ascii="Times New Roman" w:hAnsi="Times New Roman"/>
          <w:b/>
          <w:color w:val="5A6473"/>
          <w:sz w:val="21"/>
        </w:rPr>
        <w:t>SUBMITTED BY</w:t>
        <w:br/>
      </w:r>
      <w:r>
        <w:rPr>
          <w:rFonts w:ascii="Times New Roman" w:hAnsi="Times New Roman"/>
          <w:b/>
          <w:color w:val="0F1E41"/>
          <w:sz w:val="28"/>
        </w:rPr>
        <w:t>MR. IVAN DSOUZA</w:t>
        <w:br/>
      </w:r>
      <w:r>
        <w:rPr>
          <w:rFonts w:ascii="Times New Roman" w:hAnsi="Times New Roman"/>
          <w:color w:val="323C4B"/>
          <w:sz w:val="22"/>
        </w:rPr>
        <w:t>Roll No.: TDDS013A  |  PRN: 2023016401824103</w:t>
        <w:br/>
        <w:t>T.Y. B.Sc. Data Science  |  Semester VI</w:t>
      </w:r>
    </w:p>
    <w:p>
      <w:pPr>
        <w:spacing w:before="440" w:after="80" w:line="276" w:lineRule="auto"/>
        <w:jc w:val="center"/>
      </w:pPr>
      <w:r>
        <w:rPr>
          <w:rFonts w:ascii="Times New Roman" w:hAnsi="Times New Roman"/>
          <w:b/>
          <w:color w:val="5A6473"/>
          <w:sz w:val="21"/>
        </w:rPr>
        <w:t>UNDER THE ESTEEMED GUIDANCE OF</w:t>
        <w:br/>
      </w:r>
      <w:r>
        <w:rPr>
          <w:rFonts w:ascii="Times New Roman" w:hAnsi="Times New Roman"/>
          <w:b/>
          <w:color w:val="141E32"/>
          <w:sz w:val="24"/>
        </w:rPr>
        <w:t>Mr./Ms. __________________________</w:t>
        <w:br/>
        <w:t>Department of Data Science &amp; Information Technology</w:t>
      </w:r>
    </w:p>
    <w:p>
      <w:pPr>
        <w:spacing w:before="600" w:after="0" w:line="276" w:lineRule="auto"/>
        <w:jc w:val="center"/>
      </w:pPr>
      <w:r>
        <w:rPr>
          <w:rFonts w:ascii="Times New Roman" w:hAnsi="Times New Roman"/>
          <w:b/>
          <w:color w:val="0F1E41"/>
          <w:sz w:val="24"/>
        </w:rPr>
        <w:t>ACADEMIC YEAR 2025 – 2026</w:t>
      </w:r>
    </w:p>
    <w:p>
      <w:r>
        <w:br w:type="page"/>
      </w:r>
    </w:p>
    <w:p>
      <w:pPr>
        <w:spacing w:before="300" w:after="80" w:line="276" w:lineRule="auto"/>
        <w:jc w:val="center"/>
      </w:pPr>
      <w:r>
        <w:rPr>
          <w:rFonts w:ascii="Times New Roman" w:hAnsi="Times New Roman"/>
          <w:b/>
          <w:color w:val="0F1E41"/>
          <w:sz w:val="26"/>
        </w:rPr>
        <w:t>Kandivli Education Society's</w:t>
        <w:br/>
        <w:t>BK Shroff College of Arts &amp; MH Shroff College of Commerce</w:t>
        <w:br/>
      </w:r>
      <w:r>
        <w:rPr>
          <w:rFonts w:ascii="Times New Roman" w:hAnsi="Times New Roman"/>
          <w:b/>
          <w:color w:val="283750"/>
          <w:sz w:val="22"/>
        </w:rPr>
        <w:t>Kandivali (West), Mumbai - 400067</w:t>
        <w:br/>
        <w:t>DEPARTMENT OF DATA SCIENCE</w:t>
      </w:r>
    </w:p>
    <w:p>
      <w:pPr>
        <w:spacing w:before="400" w:after="360" w:line="276" w:lineRule="auto"/>
        <w:jc w:val="center"/>
      </w:pPr>
      <w:r>
        <w:rPr>
          <w:rFonts w:ascii="Times New Roman" w:hAnsi="Times New Roman"/>
          <w:b/>
          <w:color w:val="0F1E41"/>
          <w:sz w:val="34"/>
          <w:u w:val="single"/>
        </w:rPr>
        <w:t>CERTIFICATE</w:t>
      </w:r>
    </w:p>
    <w:p>
      <w:pPr>
        <w:spacing w:before="160" w:after="240" w:line="288" w:lineRule="auto"/>
        <w:jc w:val="both"/>
      </w:pPr>
      <w:r>
        <w:rPr>
          <w:rFonts w:ascii="Times New Roman" w:hAnsi="Times New Roman"/>
          <w:color w:val="1E232D"/>
          <w:sz w:val="22"/>
        </w:rPr>
        <w:t>This is to certify that Mr. IVAN DSOUZA, a bonafide student of THIRD YEAR Bachelor of Science in DATA SCIENCE (Semester VI), Division: A, Roll No.: TDDS013A, has successfully completed the Capstone Project entitled 'SURVIVAL-BASED CHURN MODELING WITH PERSONALIZED RETENTION TREATMENT RANKING' (RetainIQ, Project ID: BDS-11) during the Academic Year 2025 – 2026, in partial fulfillment of the requirements for the award of the Degree of Bachelor of Science (Data Science) affiliated with the University of Mumbai, under the curriculum guidelines of KES' Shroff College of Arts &amp; Commerce (Autonomous).</w:t>
      </w:r>
    </w:p>
    <w:p>
      <w:pPr>
        <w:spacing w:before="80" w:after="800" w:line="288" w:lineRule="auto"/>
        <w:jc w:val="both"/>
      </w:pPr>
      <w:r>
        <w:rPr>
          <w:rFonts w:ascii="Times New Roman" w:hAnsi="Times New Roman"/>
          <w:color w:val="1E232D"/>
          <w:sz w:val="22"/>
        </w:rPr>
        <w:t>The project work incorporates original research, empirical survival analysis, heterogeneous treatment effect estimation, prescriptive decision optimization, cryptographic audit logging, automated unit/integration testing, and production web microservice deployment carried out under institutional supervision.</w:t>
      </w:r>
    </w:p>
    <w:tbl>
      <w:tblPr>
        <w:tblW w:type="auto" w:w="0"/>
        <w:jc w:val="center"/>
        <w:tblLayout w:type="fixed"/>
        <w:tblLook w:firstColumn="1" w:firstRow="1" w:lastColumn="0" w:lastRow="0" w:noHBand="0" w:noVBand="1" w:val="04A0"/>
      </w:tblPr>
      <w:tblGrid>
        <w:gridCol w:w="3072"/>
        <w:gridCol w:w="3072"/>
        <w:gridCol w:w="3072"/>
      </w:tblGrid>
      <w:tr>
        <w:tc>
          <w:tcPr>
            <w:tcW w:type="dxa" w:w="3024"/>
          </w:tcPr>
          <w:p>
            <w:pPr>
              <w:jc w:val="center"/>
            </w:pPr>
            <w:r>
              <w:rPr>
                <w:sz w:val="20"/>
              </w:rPr>
              <w:t>_____________________</w:t>
              <w:br/>
              <w:t>Mr./Ms. ____________________</w:t>
              <w:br/>
              <w:t>Project Guide</w:t>
              <w:br/>
              <w:t>Dept. of Data Science</w:t>
            </w:r>
          </w:p>
        </w:tc>
        <w:tc>
          <w:tcPr>
            <w:tcW w:type="dxa" w:w="3024"/>
          </w:tcPr>
          <w:p>
            <w:pPr>
              <w:jc w:val="center"/>
            </w:pPr>
            <w:r>
              <w:rPr>
                <w:sz w:val="20"/>
              </w:rPr>
              <w:t>_____________________</w:t>
              <w:br/>
              <w:t>Ms. Sweta Suman</w:t>
              <w:br/>
              <w:t>Teacher In-charge</w:t>
              <w:br/>
              <w:t>Coordinator, B.Sc. DS</w:t>
            </w:r>
          </w:p>
        </w:tc>
        <w:tc>
          <w:tcPr>
            <w:tcW w:type="dxa" w:w="3024"/>
          </w:tcPr>
          <w:p>
            <w:pPr>
              <w:jc w:val="center"/>
            </w:pPr>
            <w:r>
              <w:rPr>
                <w:sz w:val="20"/>
              </w:rPr>
              <w:t>_____________________</w:t>
              <w:br/>
              <w:t>Dr. Lily Bhushan</w:t>
              <w:br/>
              <w:t>Principal</w:t>
              <w:br/>
              <w:t>KES' Shroff College</w:t>
            </w:r>
          </w:p>
        </w:tc>
      </w:tr>
      <w:tr>
        <w:tc>
          <w:tcPr>
            <w:tcW w:type="dxa" w:w="3024"/>
          </w:tcPr>
          <w:p>
            <w:pPr>
              <w:spacing w:before="600" w:after="0" w:line="276" w:lineRule="auto"/>
              <w:jc w:val="center"/>
            </w:pPr>
            <w:r>
              <w:rPr>
                <w:sz w:val="20"/>
              </w:rPr>
              <w:t>_____________________</w:t>
              <w:br/>
              <w:t>External Examiner</w:t>
              <w:br/>
              <w:t>Date: ____ / ____ / 2026</w:t>
            </w:r>
          </w:p>
        </w:tc>
        <w:tc>
          <w:tcPr>
            <w:tcW w:type="dxa" w:w="3024"/>
          </w:tcPr>
          <w:p>
            <w:pPr>
              <w:spacing w:before="600" w:after="0" w:line="276" w:lineRule="auto"/>
              <w:jc w:val="center"/>
            </w:pPr>
            <w:r>
              <w:rPr>
                <w:color w:val="78828C"/>
                <w:sz w:val="19"/>
              </w:rPr>
              <w:t>COLLEGE SEAL / STAMP</w:t>
            </w:r>
          </w:p>
        </w:tc>
        <w:tc>
          <w:tcPr>
            <w:tcW w:type="dxa" w:w="3024"/>
          </w:tcPr>
          <w:p>
            <w:pPr>
              <w:spacing w:before="600" w:after="0" w:line="276" w:lineRule="auto"/>
              <w:jc w:val="center"/>
            </w:pPr>
            <w:r>
              <w:rPr>
                <w:sz w:val="20"/>
              </w:rPr>
              <w:t>_____________________</w:t>
              <w:br/>
              <w:t>Internal Examiner</w:t>
              <w:br/>
              <w:t>Date: ____ / ____ / 2026</w:t>
            </w:r>
          </w:p>
        </w:tc>
      </w:tr>
    </w:tbl>
    <w:p>
      <w:r>
        <w:br w:type="page"/>
      </w:r>
    </w:p>
    <w:p>
      <w:pPr>
        <w:spacing w:before="200" w:after="240" w:line="276" w:lineRule="auto"/>
        <w:jc w:val="center"/>
      </w:pPr>
      <w:r>
        <w:rPr>
          <w:rFonts w:ascii="Times New Roman" w:hAnsi="Times New Roman"/>
          <w:b/>
          <w:color w:val="0F1E41"/>
          <w:sz w:val="28"/>
        </w:rPr>
        <w:t>PROFORMA FOR THE APPROVAL OF PROJECT PROPOSAL</w:t>
        <w:br/>
        <w:t>ACADEMIC YEAR 2025 – 2026</w:t>
      </w:r>
    </w:p>
    <w:tbl>
      <w:tblPr>
        <w:tblW w:type="auto" w:w="0"/>
        <w:jc w:val="center"/>
        <w:tblLook w:firstColumn="1" w:firstRow="1" w:lastColumn="0" w:lastRow="0" w:noHBand="0" w:noVBand="1" w:val="04A0"/>
        <w:tblBorders>
          <w:top w:val="single" w:sz="6" w:space="0" w:color="90A0B0"/>
          <w:bottom w:val="single" w:sz="6" w:space="0" w:color="90A0B0"/>
          <w:left w:val="none"/>
          <w:right w:val="none"/>
          <w:insideH w:val="single" w:sz="6" w:space="0" w:color="90A0B0"/>
          <w:insideV w:val="none"/>
        </w:tblBorders>
      </w:tblPr>
      <w:tblGrid>
        <w:gridCol w:w="4608"/>
        <w:gridCol w:w="4608"/>
      </w:tblGrid>
      <w:tr>
        <w:tc>
          <w:tcPr>
            <w:tcW w:type="dxa" w:w="3168"/>
            <w:shd w:fill="F0F4F8"/>
            <w:tcMar>
              <w:top w:w="90" w:type="dxa"/>
              <w:bottom w:w="90" w:type="dxa"/>
              <w:left w:w="120" w:type="dxa"/>
              <w:right w:w="100" w:type="dxa"/>
            </w:tcMar>
          </w:tcPr>
          <w:p>
            <w:pPr>
              <w:jc w:val="left"/>
            </w:pPr>
            <w:r>
              <w:rPr>
                <w:rFonts w:ascii="Times New Roman" w:hAnsi="Times New Roman"/>
                <w:b/>
                <w:sz w:val="21"/>
              </w:rPr>
              <w:t>Roll No. &amp; Division:</w:t>
            </w:r>
          </w:p>
        </w:tc>
        <w:tc>
          <w:tcPr>
            <w:tcW w:type="dxa" w:w="6048"/>
            <w:tcMar>
              <w:top w:w="90" w:type="dxa"/>
              <w:bottom w:w="90" w:type="dxa"/>
              <w:left w:w="120" w:type="dxa"/>
              <w:right w:w="100" w:type="dxa"/>
            </w:tcMar>
          </w:tcPr>
          <w:p>
            <w:pPr>
              <w:jc w:val="left"/>
            </w:pPr>
            <w:r>
              <w:rPr>
                <w:rFonts w:ascii="Times New Roman" w:hAnsi="Times New Roman"/>
                <w:sz w:val="21"/>
              </w:rPr>
              <w:t>TDDS013A  |  Division A</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Student Name:</w:t>
            </w:r>
          </w:p>
        </w:tc>
        <w:tc>
          <w:tcPr>
            <w:tcW w:type="dxa" w:w="6048"/>
            <w:tcMar>
              <w:top w:w="90" w:type="dxa"/>
              <w:bottom w:w="90" w:type="dxa"/>
              <w:left w:w="120" w:type="dxa"/>
              <w:right w:w="100" w:type="dxa"/>
            </w:tcMar>
          </w:tcPr>
          <w:p>
            <w:pPr>
              <w:jc w:val="left"/>
            </w:pPr>
            <w:r>
              <w:rPr>
                <w:rFonts w:ascii="Times New Roman" w:hAnsi="Times New Roman"/>
                <w:sz w:val="21"/>
              </w:rPr>
              <w:t>IVAN DSOUZA</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Programme / Class:</w:t>
            </w:r>
          </w:p>
        </w:tc>
        <w:tc>
          <w:tcPr>
            <w:tcW w:type="dxa" w:w="6048"/>
            <w:tcMar>
              <w:top w:w="90" w:type="dxa"/>
              <w:bottom w:w="90" w:type="dxa"/>
              <w:left w:w="120" w:type="dxa"/>
              <w:right w:w="100" w:type="dxa"/>
            </w:tcMar>
          </w:tcPr>
          <w:p>
            <w:pPr>
              <w:jc w:val="left"/>
            </w:pPr>
            <w:r>
              <w:rPr>
                <w:rFonts w:ascii="Times New Roman" w:hAnsi="Times New Roman"/>
                <w:sz w:val="21"/>
              </w:rPr>
              <w:t>Bachelor of Science (Data Science)  |  T.Y. B.Sc. Semester VI</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Project Title:</w:t>
            </w:r>
          </w:p>
        </w:tc>
        <w:tc>
          <w:tcPr>
            <w:tcW w:type="dxa" w:w="6048"/>
            <w:tcMar>
              <w:top w:w="90" w:type="dxa"/>
              <w:bottom w:w="90" w:type="dxa"/>
              <w:left w:w="120" w:type="dxa"/>
              <w:right w:w="100" w:type="dxa"/>
            </w:tcMar>
          </w:tcPr>
          <w:p>
            <w:pPr>
              <w:jc w:val="left"/>
            </w:pPr>
            <w:r>
              <w:rPr>
                <w:rFonts w:ascii="Times New Roman" w:hAnsi="Times New Roman"/>
                <w:sz w:val="21"/>
              </w:rPr>
              <w:t>SURVIVAL-BASED CHURN MODELING WITH PERSONALIZED RETENTION TREATMENT RANKING (RetainIQ)</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Project Identification ID:</w:t>
            </w:r>
          </w:p>
        </w:tc>
        <w:tc>
          <w:tcPr>
            <w:tcW w:type="dxa" w:w="6048"/>
            <w:tcMar>
              <w:top w:w="90" w:type="dxa"/>
              <w:bottom w:w="90" w:type="dxa"/>
              <w:left w:w="120" w:type="dxa"/>
              <w:right w:w="100" w:type="dxa"/>
            </w:tcMar>
          </w:tcPr>
          <w:p>
            <w:pPr>
              <w:jc w:val="left"/>
            </w:pPr>
            <w:r>
              <w:rPr>
                <w:rFonts w:ascii="Times New Roman" w:hAnsi="Times New Roman"/>
                <w:sz w:val="21"/>
              </w:rPr>
              <w:t>BDS-11</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Name of Project Guide:</w:t>
            </w:r>
          </w:p>
        </w:tc>
        <w:tc>
          <w:tcPr>
            <w:tcW w:type="dxa" w:w="6048"/>
            <w:tcMar>
              <w:top w:w="90" w:type="dxa"/>
              <w:bottom w:w="90" w:type="dxa"/>
              <w:left w:w="120" w:type="dxa"/>
              <w:right w:w="100" w:type="dxa"/>
            </w:tcMar>
          </w:tcPr>
          <w:p>
            <w:pPr>
              <w:jc w:val="left"/>
            </w:pPr>
            <w:r>
              <w:rPr>
                <w:rFonts w:ascii="Times New Roman" w:hAnsi="Times New Roman"/>
                <w:sz w:val="21"/>
              </w:rPr>
              <w:t>Mr./Ms. __________________________</w:t>
            </w:r>
          </w:p>
        </w:tc>
      </w:tr>
      <w:tr>
        <w:tc>
          <w:tcPr>
            <w:tcW w:type="dxa" w:w="3168"/>
            <w:shd w:fill="F0F4F8"/>
            <w:tcMar>
              <w:top w:w="90" w:type="dxa"/>
              <w:bottom w:w="90" w:type="dxa"/>
              <w:left w:w="120" w:type="dxa"/>
              <w:right w:w="100" w:type="dxa"/>
            </w:tcMar>
          </w:tcPr>
          <w:p>
            <w:pPr>
              <w:jc w:val="left"/>
            </w:pPr>
            <w:r>
              <w:rPr>
                <w:rFonts w:ascii="Times New Roman" w:hAnsi="Times New Roman"/>
                <w:b/>
                <w:sz w:val="21"/>
              </w:rPr>
              <w:t>Specialization Track:</w:t>
            </w:r>
          </w:p>
        </w:tc>
        <w:tc>
          <w:tcPr>
            <w:tcW w:type="dxa" w:w="6048"/>
            <w:tcMar>
              <w:top w:w="90" w:type="dxa"/>
              <w:bottom w:w="90" w:type="dxa"/>
              <w:left w:w="120" w:type="dxa"/>
              <w:right w:w="100" w:type="dxa"/>
            </w:tcMar>
          </w:tcPr>
          <w:p>
            <w:pPr>
              <w:jc w:val="left"/>
            </w:pPr>
            <w:r>
              <w:rPr>
                <w:rFonts w:ascii="Times New Roman" w:hAnsi="Times New Roman"/>
                <w:sz w:val="21"/>
              </w:rPr>
              <w:t>Advanced Machine Learning, Causal Inference &amp; Time-to-Event Analytics</w:t>
            </w:r>
          </w:p>
        </w:tc>
      </w:tr>
    </w:tbl>
    <w:p>
      <w:pPr>
        <w:spacing w:before="500" w:after="200" w:line="276" w:lineRule="auto"/>
        <w:jc w:val="both"/>
      </w:pPr>
    </w:p>
    <w:tbl>
      <w:tblPr>
        <w:tblW w:type="auto" w:w="0"/>
        <w:jc w:val="center"/>
        <w:tblLook w:firstColumn="1" w:firstRow="1" w:lastColumn="0" w:lastRow="0" w:noHBand="0" w:noVBand="1" w:val="04A0"/>
      </w:tblPr>
      <w:tblGrid>
        <w:gridCol w:w="3072"/>
        <w:gridCol w:w="3072"/>
        <w:gridCol w:w="3072"/>
      </w:tblGrid>
      <w:tr>
        <w:tc>
          <w:tcPr>
            <w:tcW w:type="dxa" w:w="3024"/>
          </w:tcPr>
          <w:p>
            <w:pPr>
              <w:jc w:val="center"/>
            </w:pPr>
            <w:r>
              <w:rPr>
                <w:sz w:val="20"/>
              </w:rPr>
              <w:t>_____________________</w:t>
              <w:br/>
              <w:t>Signature of the Student</w:t>
              <w:br/>
              <w:t>Date: ____ / ____ / 2026</w:t>
            </w:r>
          </w:p>
        </w:tc>
        <w:tc>
          <w:tcPr>
            <w:tcW w:type="dxa" w:w="3024"/>
          </w:tcPr>
          <w:p>
            <w:pPr>
              <w:jc w:val="center"/>
            </w:pPr>
            <w:r>
              <w:rPr>
                <w:sz w:val="20"/>
              </w:rPr>
              <w:t>_____________________</w:t>
              <w:br/>
              <w:t>Signature of the Guide</w:t>
              <w:br/>
              <w:t>Date: ____ / ____ / 2026</w:t>
            </w:r>
          </w:p>
        </w:tc>
        <w:tc>
          <w:tcPr>
            <w:tcW w:type="dxa" w:w="3024"/>
          </w:tcPr>
          <w:p>
            <w:pPr>
              <w:jc w:val="center"/>
            </w:pPr>
            <w:r>
              <w:rPr>
                <w:sz w:val="20"/>
              </w:rPr>
              <w:t>_____________________</w:t>
              <w:br/>
              <w:t>Signature of Coordinator</w:t>
              <w:br/>
              <w:t>Date: ____ / ____ / 2026</w:t>
            </w:r>
          </w:p>
        </w:tc>
      </w:tr>
    </w:tbl>
    <w:p>
      <w:r>
        <w:br w:type="page"/>
      </w:r>
    </w:p>
    <w:p>
      <w:pPr>
        <w:spacing w:before="200" w:after="200" w:line="276" w:lineRule="auto"/>
        <w:jc w:val="center"/>
      </w:pPr>
      <w:r>
        <w:rPr>
          <w:rFonts w:ascii="Times New Roman" w:hAnsi="Times New Roman"/>
          <w:b/>
          <w:color w:val="0F1E41"/>
          <w:sz w:val="32"/>
        </w:rPr>
        <w:t>ABSTRACT</w:t>
      </w:r>
    </w:p>
    <w:p>
      <w:pPr>
        <w:spacing w:before="0" w:after="80" w:line="276" w:lineRule="auto"/>
        <w:jc w:val="both"/>
      </w:pPr>
      <w:r>
        <w:rPr>
          <w:rFonts w:ascii="Times New Roman" w:hAnsi="Times New Roman"/>
          <w:b/>
          <w:color w:val="0F1E3C"/>
          <w:sz w:val="22"/>
        </w:rPr>
        <w:t xml:space="preserve">Problem Statement: </w:t>
      </w:r>
      <w:r>
        <w:rPr>
          <w:rFonts w:ascii="Times New Roman" w:hAnsi="Times New Roman"/>
          <w:color w:val="1E232D"/>
          <w:sz w:val="22"/>
        </w:rPr>
        <w:t>Customer churn represents an existential financial risk across modern subscription economies, where customer acquisition costs frequently outstrip retention investments by five- to seven-fold. Conventional industry practices treat churn as a static binary classification problem, which introduces severe theoretical flaws: survival blindness (ignoring the temporal dimension of attrition) and right-censoring distortion (penalizing active subscribers as non-events). Furthermore, marketing teams frequently mistarget interventions toward 'Lost Causes' (customers determined to churn regardless of treatment) while ignoring high-leverage 'Persuadables'.</w:t>
      </w:r>
    </w:p>
    <w:p>
      <w:pPr>
        <w:spacing w:before="0" w:after="80" w:line="276" w:lineRule="auto"/>
        <w:jc w:val="both"/>
      </w:pPr>
      <w:r>
        <w:rPr>
          <w:rFonts w:ascii="Times New Roman" w:hAnsi="Times New Roman"/>
          <w:b/>
          <w:color w:val="0F1E3C"/>
          <w:sz w:val="22"/>
        </w:rPr>
        <w:t xml:space="preserve">Methodology &amp; Architecture: </w:t>
      </w:r>
      <w:r>
        <w:rPr>
          <w:rFonts w:ascii="Times New Roman" w:hAnsi="Times New Roman"/>
          <w:color w:val="1E232D"/>
          <w:sz w:val="22"/>
        </w:rPr>
        <w:t>This project introduces RetainIQ (Project ID: BDS-11), an end-to-end enterprise decision-support ecosystem that unifies continuous-time statistical survival analysis with causal uplift meta-learning and prescriptive economic optimization. RetainIQ replaces point-in-time churn probabilities with continuous survival probability curves S(t) = P(T &gt; t) and hazard functions h(t). The system benchmarks four foundational survival modeling paradigms: non-parametric Kaplan-Meier estimation, semi-parametric Cox Proportional Hazards (M1), parametric Weibull Accelerated Failure Time (M2), and Random Survival Forests (M3) across 7,043 telecommunications subscribers.</w:t>
      </w:r>
    </w:p>
    <w:p>
      <w:pPr>
        <w:spacing w:before="0" w:after="80" w:line="276" w:lineRule="auto"/>
        <w:jc w:val="both"/>
      </w:pPr>
      <w:r>
        <w:rPr>
          <w:rFonts w:ascii="Times New Roman" w:hAnsi="Times New Roman"/>
          <w:b/>
          <w:color w:val="0F1E3C"/>
          <w:sz w:val="22"/>
        </w:rPr>
        <w:t xml:space="preserve">Results &amp; Practical Value: </w:t>
      </w:r>
      <w:r>
        <w:rPr>
          <w:rFonts w:ascii="Times New Roman" w:hAnsi="Times New Roman"/>
          <w:color w:val="1E232D"/>
          <w:sz w:val="22"/>
        </w:rPr>
        <w:t>Empirical benchmarks confirm that Weibull AFT and Cox Proportional Hazards achieve peak discriminatory power with test Concordance Indices (C-Index) of 0.8697 and 0.8694 respectively, vastly outperforming a naive binary baseline (0.8283). At the operational 90-day horizon, the Weibull AFT model yields an exceptional Integrated Brier Score (IBS) of 0.0818. Deploying T-Learner causal meta-models isolates individual counterfactual uplift (Delta S) across four treatments, achieving a mean Qini score of 0.6920. Prescriptive knapsack optimization evaluates Expected Retention Value (ERV = Delta S * LTV - Cost), capturing $48,920 in Net ERV at an outstanding 329.2% ROI under a $15,000 budget. An immutable SHA-256 cryptographic audit trail and an 11-page dark-themed Streamlit cockpit deliver full enterprise governance.</w:t>
      </w:r>
    </w:p>
    <w:p>
      <w:pPr>
        <w:spacing w:before="280" w:after="120" w:line="276" w:lineRule="auto"/>
        <w:jc w:val="both"/>
      </w:pPr>
      <w:r>
        <w:rPr>
          <w:rFonts w:ascii="Times New Roman" w:hAnsi="Times New Roman"/>
          <w:b/>
          <w:sz w:val="21"/>
        </w:rPr>
        <w:t xml:space="preserve">Keywords: </w:t>
      </w:r>
      <w:r>
        <w:rPr>
          <w:rFonts w:ascii="Times New Roman" w:hAnsi="Times New Roman"/>
          <w:i/>
          <w:sz w:val="20"/>
        </w:rPr>
        <w:t>Survival Analysis, Right Censoring, Kaplan-Meier, Cox Proportional Hazards, Weibull AFT, Random Survival Forests, Causal Uplift Modeling, T-Learner, Expected Retention Value (ERV), Prescriptive Optimization, Cryptographic Audit Trail, FastAPI, Streamlit.</w:t>
      </w:r>
    </w:p>
    <w:p>
      <w:r>
        <w:br w:type="page"/>
      </w:r>
    </w:p>
    <w:p>
      <w:pPr>
        <w:spacing w:before="200" w:after="240" w:line="276" w:lineRule="auto"/>
        <w:jc w:val="center"/>
      </w:pPr>
      <w:r>
        <w:rPr>
          <w:rFonts w:ascii="Times New Roman" w:hAnsi="Times New Roman"/>
          <w:b/>
          <w:color w:val="0F1E41"/>
          <w:sz w:val="32"/>
        </w:rPr>
        <w:t>ACKNOWLEDGEMENT</w:t>
      </w:r>
    </w:p>
    <w:p>
      <w:pPr>
        <w:spacing w:before="0" w:after="80" w:line="276" w:lineRule="auto"/>
        <w:jc w:val="both"/>
      </w:pPr>
      <w:r>
        <w:rPr>
          <w:rFonts w:ascii="Times New Roman" w:hAnsi="Times New Roman"/>
          <w:color w:val="1E232D"/>
          <w:sz w:val="22"/>
        </w:rPr>
        <w:t>The completion of this Capstone Project, entitled 'SURVIVAL-BASED CHURN MODELING WITH PERSONALIZED RETENTION TREATMENT RANKING' (RetainIQ, Project ID: BDS-11), has been an enriching academic and technical endeavor. I take this opportunity to express my profound gratitude to everyone who contributed their invaluable mentorship, guidance, and encouragement throughout this project.</w:t>
      </w:r>
    </w:p>
    <w:p>
      <w:pPr>
        <w:spacing w:before="0" w:after="80" w:line="276" w:lineRule="auto"/>
        <w:jc w:val="both"/>
      </w:pPr>
      <w:r>
        <w:rPr>
          <w:rFonts w:ascii="Times New Roman" w:hAnsi="Times New Roman"/>
          <w:color w:val="1E232D"/>
          <w:sz w:val="22"/>
        </w:rPr>
        <w:t>First and foremost, I express my deepest sense of gratitude to my esteemed Project Guide, Mr./Ms. __________________________, Department of Data Science, for their intellectual mentorship, constructive criticism, and continuous support throughout the modeling, implementation, and reporting phases.</w:t>
      </w:r>
    </w:p>
    <w:p>
      <w:pPr>
        <w:spacing w:before="0" w:after="80" w:line="276" w:lineRule="auto"/>
        <w:jc w:val="both"/>
      </w:pPr>
      <w:r>
        <w:rPr>
          <w:rFonts w:ascii="Times New Roman" w:hAnsi="Times New Roman"/>
          <w:color w:val="1E232D"/>
          <w:sz w:val="22"/>
        </w:rPr>
        <w:t>I extend my sincere thanks to Ms. Sweta Suman, Teacher In-charge and Course Coordinator of the B.Sc. Data Science programme, for providing an academically rigorous environment, laboratory infrastructure, and administrative guidance throughout the academic year.</w:t>
      </w:r>
    </w:p>
    <w:p>
      <w:pPr>
        <w:spacing w:before="0" w:after="80" w:line="276" w:lineRule="auto"/>
        <w:jc w:val="both"/>
      </w:pPr>
      <w:r>
        <w:rPr>
          <w:rFonts w:ascii="Times New Roman" w:hAnsi="Times New Roman"/>
          <w:color w:val="1E232D"/>
          <w:sz w:val="22"/>
        </w:rPr>
        <w:t>I also convey my deep respect and gratitude to our respected Principal, Dr. Lily Bhushan, whose visionary leadership and encouragement have continually inspired us to achieve academic and applied technical excellence.</w:t>
      </w:r>
    </w:p>
    <w:p>
      <w:pPr>
        <w:spacing w:before="0" w:after="800" w:line="276" w:lineRule="auto"/>
        <w:jc w:val="both"/>
      </w:pPr>
      <w:r>
        <w:rPr>
          <w:rFonts w:ascii="Times New Roman" w:hAnsi="Times New Roman"/>
          <w:color w:val="1E232D"/>
          <w:sz w:val="22"/>
        </w:rPr>
        <w:t>Finally, I am profoundly grateful to my parents and family members for their constant moral and emotional support, and to my classmates for their thoughtful discussions and collaborative spirit.</w:t>
      </w:r>
    </w:p>
    <w:p>
      <w:pPr>
        <w:spacing w:before="300" w:after="0" w:line="276" w:lineRule="auto"/>
        <w:jc w:val="right"/>
      </w:pPr>
      <w:r>
        <w:rPr>
          <w:rFonts w:ascii="Times New Roman" w:hAnsi="Times New Roman"/>
          <w:b/>
          <w:color w:val="0F1E41"/>
          <w:sz w:val="22"/>
        </w:rPr>
        <w:t>MR. IVAN DSOUZA</w:t>
        <w:br/>
        <w:t>Roll No.: TDDS013A</w:t>
        <w:br/>
        <w:t>T.Y. B.Sc. Data Science, Semester VI</w:t>
        <w:br/>
        <w:t>KES' Shroff College, Mumbai</w:t>
      </w:r>
    </w:p>
    <w:p>
      <w:r>
        <w:br w:type="page"/>
      </w:r>
    </w:p>
    <w:p>
      <w:pPr>
        <w:spacing w:before="200" w:after="240" w:line="276" w:lineRule="auto"/>
        <w:jc w:val="center"/>
      </w:pPr>
      <w:r>
        <w:rPr>
          <w:rFonts w:ascii="Times New Roman" w:hAnsi="Times New Roman"/>
          <w:b/>
          <w:color w:val="0F1E41"/>
          <w:sz w:val="32"/>
        </w:rPr>
        <w:t>DECLARATION</w:t>
      </w:r>
    </w:p>
    <w:p>
      <w:pPr>
        <w:spacing w:before="200" w:after="200" w:line="276" w:lineRule="auto"/>
        <w:jc w:val="both"/>
      </w:pPr>
      <w:r>
        <w:rPr>
          <w:rFonts w:ascii="Times New Roman" w:hAnsi="Times New Roman"/>
          <w:color w:val="1E232D"/>
          <w:sz w:val="22"/>
        </w:rPr>
        <w:t>I, MR. IVAN DSOUZA, student of Third Year Bachelor of Science in Data Science (Semester VI), Division: A, Roll No.: TDDS013A, studying at Kandivli Education Society's BK Shroff College of Arts &amp; MH Shroff College of Commerce (Autonomous), Kandivali (West), Mumbai - 400067, hereby declare that the Capstone Project report entitled:</w:t>
      </w:r>
    </w:p>
    <w:p>
      <w:pPr>
        <w:spacing w:before="200" w:after="240" w:line="276" w:lineRule="auto"/>
        <w:jc w:val="center"/>
      </w:pPr>
      <w:r>
        <w:rPr>
          <w:rFonts w:ascii="Times New Roman" w:hAnsi="Times New Roman"/>
          <w:b/>
          <w:color w:val="0F234B"/>
          <w:sz w:val="26"/>
        </w:rPr>
        <w:t>“SURVIVAL-BASED CHURN MODELING WITH PERSONALIZED RETENTION TREATMENT RANKING”</w:t>
        <w:br/>
        <w:t>(RetainIQ  |  Project ID: BDS-11)</w:t>
      </w:r>
    </w:p>
    <w:p>
      <w:pPr>
        <w:spacing w:before="0" w:after="80" w:line="276" w:lineRule="auto"/>
        <w:jc w:val="both"/>
      </w:pPr>
      <w:r>
        <w:rPr>
          <w:rFonts w:ascii="Times New Roman" w:hAnsi="Times New Roman"/>
          <w:color w:val="1E232D"/>
          <w:sz w:val="22"/>
        </w:rPr>
        <w:t>represents my own authentic, original work carried out under the supervision of my project guide, Mr./Ms. __________________________, Department of Data Science, KES' Shroff College, during the Academic Year 2025 – 2026.</w:t>
      </w:r>
    </w:p>
    <w:p>
      <w:pPr>
        <w:spacing w:before="0" w:after="900" w:line="276" w:lineRule="auto"/>
        <w:jc w:val="both"/>
      </w:pPr>
      <w:r>
        <w:rPr>
          <w:rFonts w:ascii="Times New Roman" w:hAnsi="Times New Roman"/>
          <w:color w:val="1E232D"/>
          <w:sz w:val="22"/>
        </w:rPr>
        <w:t>I further affirm that this project report has been compiled by me in partial fulfillment of the academic requirements for the degree of Bachelor of Science (Data Science). To the best of my knowledge and belief, this work contains no material previously published or written by another person, nor has any part of this work been submitted previously to this or any other university, institute, or examining body for the award of any degree, diploma, or qualification.</w:t>
      </w:r>
    </w:p>
    <w:p>
      <w:pPr>
        <w:spacing w:before="400" w:after="0" w:line="276" w:lineRule="auto"/>
        <w:jc w:val="right"/>
      </w:pPr>
      <w:r>
        <w:rPr>
          <w:rFonts w:ascii="Times New Roman" w:hAnsi="Times New Roman"/>
          <w:b/>
          <w:color w:val="0F1E41"/>
          <w:sz w:val="22"/>
        </w:rPr>
        <w:t>_______________________________</w:t>
        <w:br/>
        <w:t>MR. IVAN DSOUZA</w:t>
        <w:br/>
        <w:t>Roll No.: TDDS013A</w:t>
        <w:br/>
        <w:t>Date: ____ / ____ / 2026</w:t>
        <w:br/>
        <w:t>Place: Mumbai</w:t>
      </w:r>
    </w:p>
    <w:p>
      <w:r>
        <w:br w:type="page"/>
      </w:r>
    </w:p>
    <w:p>
      <w:pPr>
        <w:spacing w:before="200" w:after="200" w:line="276" w:lineRule="auto"/>
        <w:jc w:val="center"/>
      </w:pPr>
      <w:r>
        <w:rPr>
          <w:rFonts w:ascii="Times New Roman" w:hAnsi="Times New Roman"/>
          <w:b/>
          <w:color w:val="0F1E41"/>
          <w:sz w:val="32"/>
        </w:rPr>
        <w:t>TABLE OF CONTENTS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1584"/>
            <w:shd w:fill="152035"/>
            <w:tcMar>
              <w:top w:w="70" w:type="dxa"/>
              <w:bottom w:w="70" w:type="dxa"/>
              <w:left w:w="90" w:type="dxa"/>
              <w:right w:w="70" w:type="dxa"/>
            </w:tcMar>
          </w:tcPr>
          <w:p>
            <w:pPr>
              <w:jc w:val="center"/>
            </w:pPr>
            <w:r>
              <w:rPr>
                <w:rFonts w:ascii="Times New Roman" w:hAnsi="Times New Roman"/>
                <w:b/>
                <w:color w:val="FFFFFF"/>
                <w:sz w:val="19"/>
              </w:rPr>
              <w:t>SR. NO.</w:t>
            </w:r>
          </w:p>
        </w:tc>
        <w:tc>
          <w:tcPr>
            <w:tcW w:type="dxa" w:w="6480"/>
            <w:shd w:fill="152035"/>
            <w:tcMar>
              <w:top w:w="70" w:type="dxa"/>
              <w:bottom w:w="70" w:type="dxa"/>
              <w:left w:w="90" w:type="dxa"/>
              <w:right w:w="70" w:type="dxa"/>
            </w:tcMar>
          </w:tcPr>
          <w:p>
            <w:pPr>
              <w:jc w:val="left"/>
            </w:pPr>
            <w:r>
              <w:rPr>
                <w:rFonts w:ascii="Times New Roman" w:hAnsi="Times New Roman"/>
                <w:b/>
                <w:color w:val="FFFFFF"/>
                <w:sz w:val="19"/>
              </w:rPr>
              <w:t>TOPIC / CHAPTER TITLE</w:t>
            </w:r>
          </w:p>
        </w:tc>
        <w:tc>
          <w:tcPr>
            <w:tcW w:type="dxa" w:w="1296"/>
            <w:shd w:fill="152035"/>
            <w:tcMar>
              <w:top w:w="70" w:type="dxa"/>
              <w:bottom w:w="70" w:type="dxa"/>
              <w:left w:w="90" w:type="dxa"/>
              <w:right w:w="70" w:type="dxa"/>
            </w:tcMar>
          </w:tcPr>
          <w:p>
            <w:pPr>
              <w:jc w:val="center"/>
            </w:pPr>
            <w:r>
              <w:rPr>
                <w:rFonts w:ascii="Times New Roman" w:hAnsi="Times New Roman"/>
                <w:b/>
                <w:color w:val="FFFFFF"/>
                <w:sz w:val="19"/>
              </w:rPr>
              <w:t>PAGE NO.</w:t>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1</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INTRODUCTION</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9–13</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SIGNIFICANCE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10</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OBJECTIVES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1.3</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PURPOSE AND SCOPE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1.3.1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PURPOSE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1.3.2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SCOPE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12</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1.4</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APPLICABILITY</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12</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1.5</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ACHIEVEMENTS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13</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2</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SYSTEM ANALYSIS</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14–19</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EXISTING SYSTEM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14</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PROPOSED SYSTEM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15</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2.3</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REQUIREMENT ANALYSIS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15</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2.4</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HARDWARE REQUIREMENTS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17</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2.5</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SOFTWARE REQUIREMENTS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18</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2.6</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SURVEY OF TECHNOLOGY</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18</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3</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SYSTEM DESIGN</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20–27</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MODULE DIVISION</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20</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GANTT CHART</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3.3</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SYSTEM ARCHITECTURE / E-R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3.4</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DATA FLOW REPRESENTATION</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23</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3.4.1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DATA FLOW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23</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3.5</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UML DIAGRAMS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24</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3.5.1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CLASS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24</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3.5.2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SEQUENCE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25</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3.5.3</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STATE CHART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25</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3.5.4</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USE-CASE DIAGRAM</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26</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4</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IMPLEMENTATION AND TESTING</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28–33</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4.1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CODE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28</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4.2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TESTING APPROACH</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31</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5</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RESULTS AND DISCUSSIONS</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34–45</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5.1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FUNCTIONALITY EVALUATION</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34</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5.2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USER EXPERIENCE ASSESSMENT &amp; SYSTEM EVALUATION</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42</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6</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CONCLUSION AND FUTURE WORK</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46–47</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6.1</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CONCLUSION</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46</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6.2</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FUTURE SCOPE</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46</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6.3</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LIMITATIONS</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47</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4F6F9"/>
          </w:tcPr>
          <w:p>
            <w:pPr>
              <w:spacing w:line="252" w:lineRule="auto"/>
              <w:jc w:val="center"/>
            </w:pPr>
            <w:r>
              <w:rPr>
                <w:rFonts w:ascii="Times New Roman" w:hAnsi="Times New Roman"/>
                <w:b/>
                <w:sz w:val="17"/>
              </w:rPr>
              <w:t>7</w:t>
            </w:r>
          </w:p>
        </w:tc>
        <w:tc>
          <w:tcPr>
            <w:tcW w:type="dxa" w:w="6480"/>
            <w:tcMar>
              <w:top w:w="26" w:type="dxa"/>
              <w:bottom w:w="26" w:type="dxa"/>
              <w:left w:w="60" w:type="dxa"/>
              <w:right w:w="40" w:type="dxa"/>
            </w:tcMar>
            <w:shd w:fill="F4F6F9"/>
          </w:tcPr>
          <w:p>
            <w:pPr>
              <w:spacing w:line="252" w:lineRule="auto"/>
              <w:jc w:val="left"/>
            </w:pPr>
            <w:r>
              <w:rPr>
                <w:rFonts w:ascii="Times New Roman" w:hAnsi="Times New Roman"/>
                <w:b/>
                <w:color w:val="0F1E3C"/>
                <w:sz w:val="17"/>
              </w:rPr>
              <w:t>REFERENCES</w:t>
            </w:r>
          </w:p>
        </w:tc>
        <w:tc>
          <w:tcPr>
            <w:tcW w:type="dxa" w:w="1296"/>
            <w:tcMar>
              <w:top w:w="26" w:type="dxa"/>
              <w:bottom w:w="26" w:type="dxa"/>
              <w:left w:w="60" w:type="dxa"/>
              <w:right w:w="40" w:type="dxa"/>
            </w:tcMar>
            <w:shd w:fill="F4F6F9"/>
          </w:tcPr>
          <w:p>
            <w:pPr>
              <w:spacing w:line="252" w:lineRule="auto"/>
              <w:jc w:val="center"/>
            </w:pPr>
            <w:r>
              <w:rPr>
                <w:rFonts w:ascii="Times New Roman" w:hAnsi="Times New Roman"/>
                <w:b/>
                <w:sz w:val="17"/>
              </w:rPr>
              <w:t>48–49</w:t>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r>
          </w:p>
        </w:tc>
      </w:tr>
      <w:tr>
        <w:tc>
          <w:tcPr>
            <w:tcW w:type="dxa" w:w="1584"/>
            <w:tcMar>
              <w:top w:w="26" w:type="dxa"/>
              <w:bottom w:w="26" w:type="dxa"/>
              <w:left w:w="60" w:type="dxa"/>
              <w:right w:w="40" w:type="dxa"/>
            </w:tcMar>
            <w:shd w:fill="FFFFFF"/>
          </w:tcPr>
          <w:p>
            <w:pPr>
              <w:spacing w:line="252" w:lineRule="auto"/>
              <w:jc w:val="center"/>
            </w:pPr>
            <w:r>
              <w:rPr>
                <w:rFonts w:ascii="Times New Roman" w:hAnsi="Times New Roman"/>
                <w:sz w:val="17"/>
              </w:rPr>
              <w:t>A</w:t>
            </w:r>
          </w:p>
        </w:tc>
        <w:tc>
          <w:tcPr>
            <w:tcW w:type="dxa" w:w="6480"/>
            <w:tcMar>
              <w:top w:w="26" w:type="dxa"/>
              <w:bottom w:w="26" w:type="dxa"/>
              <w:left w:w="60" w:type="dxa"/>
              <w:right w:w="40" w:type="dxa"/>
            </w:tcMar>
            <w:shd w:fill="FFFFFF"/>
          </w:tcPr>
          <w:p>
            <w:pPr>
              <w:spacing w:line="252" w:lineRule="auto"/>
              <w:jc w:val="left"/>
            </w:pPr>
            <w:r>
              <w:rPr>
                <w:rFonts w:ascii="Times New Roman" w:hAnsi="Times New Roman"/>
                <w:sz w:val="17"/>
              </w:rPr>
              <w:t>APPENDIX: REPRODUCIBILITY &amp; ARTIFACT CHECKSUM AUDIT</w:t>
            </w:r>
          </w:p>
        </w:tc>
        <w:tc>
          <w:tcPr>
            <w:tcW w:type="dxa" w:w="1296"/>
            <w:tcMar>
              <w:top w:w="26" w:type="dxa"/>
              <w:bottom w:w="26" w:type="dxa"/>
              <w:left w:w="60" w:type="dxa"/>
              <w:right w:w="40" w:type="dxa"/>
            </w:tcMar>
            <w:shd w:fill="FFFFFF"/>
          </w:tcPr>
          <w:p>
            <w:pPr>
              <w:spacing w:line="252" w:lineRule="auto"/>
              <w:jc w:val="center"/>
            </w:pPr>
            <w:r>
              <w:rPr>
                <w:rFonts w:ascii="Times New Roman" w:hAnsi="Times New Roman"/>
                <w:sz w:val="17"/>
              </w:rPr>
              <w:t>50–51</w:t>
            </w:r>
          </w:p>
        </w:tc>
      </w:tr>
    </w:tbl>
    <w:p>
      <w:r>
        <w:br w:type="page"/>
      </w:r>
    </w:p>
    <w:p>
      <w:pPr>
        <w:spacing w:before="300" w:after="240" w:line="276" w:lineRule="auto"/>
        <w:jc w:val="left"/>
      </w:pPr>
      <w:r>
        <w:rPr>
          <w:rFonts w:ascii="Times New Roman" w:hAnsi="Times New Roman"/>
          <w:b/>
          <w:color w:val="0F1E41"/>
          <w:sz w:val="30"/>
        </w:rPr>
        <w:t>CHAPTER 1: INTRODUCTION</w:t>
      </w:r>
    </w:p>
    <w:p>
      <w:pPr>
        <w:spacing w:before="0" w:after="80" w:line="276" w:lineRule="auto"/>
        <w:jc w:val="both"/>
      </w:pPr>
      <w:r>
        <w:rPr>
          <w:rFonts w:ascii="Times New Roman" w:hAnsi="Times New Roman"/>
          <w:color w:val="1E232D"/>
          <w:sz w:val="22"/>
        </w:rPr>
        <w:t>Customer churn—the voluntary or involuntary cessation of a contractual or recurring relationship between a subscriber and a service provider—represents an existential commercial challenge across modern subscription economies. In capital-intensive industries such as telecommunications, cloud Software-as-a-Service (SaaS), digital streaming media, and retail banking, the financial dynamics of customer acquisition versus customer retention have diverged dramatically. Contemporary market studies consistently demonstrate that acquiring a new enterprise or retail subscriber requires between five to seven times the capital expenditure required to retain an existing customer. Moreover, retained subscribers exhibit compounding lifetime profitability: tenured cohorts consume less frontline customer support, demonstrate higher openness to cross-selling and tier upgrades, and serve as organic advocates within their peer ecosystems. Consequently, a marginal reduction in annual attrition (even by 1 to 2 percentage points) translates directly into tens of millions of dollars in preserved Enterprise Value.</w:t>
      </w:r>
    </w:p>
    <w:p>
      <w:pPr>
        <w:spacing w:before="0" w:after="80" w:line="276" w:lineRule="auto"/>
        <w:jc w:val="both"/>
      </w:pPr>
      <w:r>
        <w:rPr>
          <w:rFonts w:ascii="Times New Roman" w:hAnsi="Times New Roman"/>
          <w:color w:val="1E232D"/>
          <w:sz w:val="22"/>
        </w:rPr>
        <w:t>Despite the paramount strategic importance of customer preservation, contemporary enterprise churn management remains crippled by foundational methodological limitations. Standard industry practice treats churn prediction almost exclusively as a static, binary classification problem. In such setups, supervised learning algorithms—ranging from classic Logistic Regression to modern gradient-boosted decision trees (XGBoost, LightGBM, CatBoost)—are trained on historical customer feature snapshots to predict a single binary label: whether a subscriber will cancel their subscription within an arbitrary observation window (typically 30, 60, or 90 days). While computationally straightforward to implement, this formulation introduces severe theoretical distortions that undermine both predictive accuracy and commercial decision-making.</w:t>
      </w:r>
    </w:p>
    <w:p>
      <w:pPr>
        <w:spacing w:before="0" w:after="80" w:line="276" w:lineRule="auto"/>
        <w:jc w:val="both"/>
      </w:pPr>
      <w:r>
        <w:rPr>
          <w:rFonts w:ascii="Times New Roman" w:hAnsi="Times New Roman"/>
          <w:color w:val="1E232D"/>
          <w:sz w:val="22"/>
        </w:rPr>
        <w:t>The first fundamental flaw is survival blindness: binary classification collapses the entire temporal continuum into a single dichotomous outcome. A customer who cancels their account on Day 3 post-onboarding is treated as functionally identical to a highly profitable, multi-year subscriber who leaves on Day 89 of a 90-day observation window. This loss of temporal granularity prevents retention teams from understanding whether attrition represents an immediate onboarding friction, a contractual expiration shock, or a gradual long-term erosion of product engagement.</w:t>
      </w:r>
    </w:p>
    <w:p>
      <w:pPr>
        <w:spacing w:before="0" w:after="80" w:line="276" w:lineRule="auto"/>
        <w:jc w:val="both"/>
      </w:pPr>
      <w:r>
        <w:rPr>
          <w:rFonts w:ascii="Times New Roman" w:hAnsi="Times New Roman"/>
          <w:color w:val="1E232D"/>
          <w:sz w:val="22"/>
        </w:rPr>
        <w:t>The second and more profound statistical failure is the mishandling of right censoring. In any operational customer database, the vast majority of active subscribers have not yet churned as of the observation cut-off date. In standard survival statistics, these observations are 'right-censored'—their true churn event time T is known only to exceed the current elapsed tenure t (i.e., T &gt; t). Binary classification models have no native mathematical mechanism to process censored observations. Consequently, practitioners are forced either to drop active subscribers from historical training splits or to arbitrarily assign them a 'non-churn' label of zero. Dropping active accounts induces catastrophic selection bias, while labeling them as zero fundamentally misrepresents the data generating process, penalizing long-lived accounts and producing severe downward survival bias.</w:t>
      </w:r>
    </w:p>
    <w:p>
      <w:pPr>
        <w:spacing w:before="0" w:after="80" w:line="276" w:lineRule="auto"/>
        <w:jc w:val="both"/>
      </w:pPr>
      <w:r>
        <w:rPr>
          <w:rFonts w:ascii="Times New Roman" w:hAnsi="Times New Roman"/>
          <w:color w:val="1E232D"/>
          <w:sz w:val="22"/>
        </w:rPr>
        <w:t>Most critically, existing commercial workflows suffer from an association-versus-causation fallacy. Marketing operations routinely treat the output of a churn classifier—the predicted probability of attrition—as a direct ranking of customer intervention priority. Retention marketing teams blast aggressive promotional discounts and retention credits to the top decile of highest-risk accounts. This strategy represents a massive misallocation of corporate capital. Groundbreaking work in causal inference and uplift modeling reveals that customers with the highest baseline churn risk are frequently 'Lost Causes'—individuals whose decision to depart is driven by exogenous factors (e.g., relocation, business bankruptcy, fundamental price incompatibility) that cannot be altered by promotional offers. Conversely, allocating discounts to highly tenured subscribers who would have renewed organically ('Sure Things') merely erodes recurring margins without generating incremental retention value. Worse still, intrusive outbound retention calls frequently disturb dormant subscribers ('Sleeping Dogs'), triggering unforced cancellations that would not have occurred otherwise.</w:t>
      </w:r>
    </w:p>
    <w:p>
      <w:pPr>
        <w:spacing w:before="0" w:after="80" w:line="276" w:lineRule="auto"/>
        <w:jc w:val="both"/>
      </w:pPr>
      <w:r>
        <w:rPr>
          <w:rFonts w:ascii="Times New Roman" w:hAnsi="Times New Roman"/>
          <w:color w:val="1E232D"/>
          <w:sz w:val="22"/>
        </w:rPr>
        <w:t>To fundamentally resolve these structural shortcomings, this capstone project develops RetainIQ (Project ID: BDS-11): an integrated, production-grade enterprise decision-support ecosystem. RetainIQ replaces point-in-time binary classification with continuous-time statistical survival analysis, and replaces naive risk-based targeting with heterogeneous causal uplift modeling and constrained Expected Retention Value (ERV) optimization. By unifying statistical survival theory, modern causal meta-learners, tamper-evident audit logging, and low-latency API architecture, RetainIQ bridges the gap between machine learning research and prescriptive business economics.</w:t>
      </w:r>
    </w:p>
    <w:p>
      <w:pPr>
        <w:spacing w:before="160" w:after="80" w:line="276" w:lineRule="auto"/>
        <w:jc w:val="left"/>
      </w:pPr>
      <w:r>
        <w:rPr>
          <w:rFonts w:ascii="Times New Roman" w:hAnsi="Times New Roman"/>
          <w:b/>
          <w:color w:val="142D55"/>
          <w:sz w:val="26"/>
        </w:rPr>
        <w:t>1.1 SIGNIFICANCE OF THE PROJECT</w:t>
      </w:r>
    </w:p>
    <w:p>
      <w:pPr>
        <w:spacing w:before="0" w:after="80" w:line="276" w:lineRule="auto"/>
        <w:jc w:val="both"/>
      </w:pPr>
      <w:r>
        <w:rPr>
          <w:rFonts w:ascii="Times New Roman" w:hAnsi="Times New Roman"/>
          <w:color w:val="1E232D"/>
          <w:sz w:val="22"/>
        </w:rPr>
        <w:t>The technical and commercial significance of RetainIQ spans multiple dimensions of modern data science, statistical modeling, and strategic enterprise decision support:</w:t>
      </w:r>
    </w:p>
    <w:p>
      <w:pPr>
        <w:spacing w:before="0" w:after="80" w:line="276" w:lineRule="auto"/>
        <w:jc w:val="both"/>
      </w:pPr>
      <w:r>
        <w:rPr>
          <w:rFonts w:ascii="Times New Roman" w:hAnsi="Times New Roman"/>
          <w:b/>
          <w:color w:val="141E2D"/>
          <w:sz w:val="22"/>
        </w:rPr>
        <w:t xml:space="preserve">1. Advanced Methodological Synthesis: </w:t>
      </w:r>
      <w:r>
        <w:rPr>
          <w:rFonts w:ascii="Times New Roman" w:hAnsi="Times New Roman"/>
          <w:color w:val="1E232D"/>
          <w:sz w:val="22"/>
        </w:rPr>
        <w:t>From an applied machine learning perspective, survival analysis provides a mathematically principled framework for time-to-event phenomena under right censoring. By modeling both the hazard rate h(t) and the survival probability function S(t) = P(T &gt; t), RetainIQ allows data science teams to extract continuous risk trajectories across arbitrary operational horizons (e.g., 30, 60, 90, 180, and 365 days) from a single unified model. This eliminates the technical debt and maintenance burden of training separate binary classifiers for every operational timeframe.</w:t>
      </w:r>
    </w:p>
    <w:p>
      <w:pPr>
        <w:spacing w:before="0" w:after="80" w:line="276" w:lineRule="auto"/>
        <w:jc w:val="both"/>
      </w:pPr>
      <w:r>
        <w:rPr>
          <w:rFonts w:ascii="Times New Roman" w:hAnsi="Times New Roman"/>
          <w:b/>
          <w:color w:val="141E2D"/>
          <w:sz w:val="22"/>
        </w:rPr>
        <w:t xml:space="preserve">2. Bridging Prediction and Causal Prescription: </w:t>
      </w:r>
      <w:r>
        <w:rPr>
          <w:rFonts w:ascii="Times New Roman" w:hAnsi="Times New Roman"/>
          <w:color w:val="1E232D"/>
          <w:sz w:val="22"/>
        </w:rPr>
        <w:t>Standard machine learning focuses exclusively on observational prediction (E[Y | X]), answering the question: 'What is the likelihood this customer churns?' In contrast, retention operations require counterfactual decision support: 'How will this customer's survival probability change if we administer treatment k versus no intervention?' By deploying causal Meta-Learners (T-Learners and S-Learners) to estimate Conditional Average Treatment Effects (CATE), RetainIQ shifts the paradigm from passive risk scoring to active causal prescription.</w:t>
      </w:r>
    </w:p>
    <w:p>
      <w:pPr>
        <w:spacing w:before="0" w:after="80" w:line="276" w:lineRule="auto"/>
        <w:jc w:val="both"/>
      </w:pPr>
      <w:r>
        <w:rPr>
          <w:rFonts w:ascii="Times New Roman" w:hAnsi="Times New Roman"/>
          <w:b/>
          <w:color w:val="141E2D"/>
          <w:sz w:val="22"/>
        </w:rPr>
        <w:t xml:space="preserve">3. Capital Efficiency and Margin Protection: </w:t>
      </w:r>
      <w:r>
        <w:rPr>
          <w:rFonts w:ascii="Times New Roman" w:hAnsi="Times New Roman"/>
          <w:color w:val="1E232D"/>
          <w:sz w:val="22"/>
        </w:rPr>
        <w:t>Enterprise retention marketing budgets are inherently finite. By formulating the decision problem as a knapsack-style Expected Retention Value (ERV) optimization, RetainIQ ensures that every marketing dollar spent produces measurable marginal return on investment (ROI). The system explicitly evaluates intervention unit costs against customer Lifetime Value (LTV) and counterfactual survival gains, enforcing an automated economic fallback to 'No Intervention' when the cost of treatment exceeds expected value.</w:t>
      </w:r>
    </w:p>
    <w:p>
      <w:pPr>
        <w:spacing w:before="0" w:after="80" w:line="276" w:lineRule="auto"/>
        <w:jc w:val="both"/>
      </w:pPr>
      <w:r>
        <w:rPr>
          <w:rFonts w:ascii="Times New Roman" w:hAnsi="Times New Roman"/>
          <w:b/>
          <w:color w:val="141E2D"/>
          <w:sz w:val="22"/>
        </w:rPr>
        <w:t xml:space="preserve">4. Enterprise Governance and Regulatory Auditability: </w:t>
      </w:r>
      <w:r>
        <w:rPr>
          <w:rFonts w:ascii="Times New Roman" w:hAnsi="Times New Roman"/>
          <w:color w:val="1E232D"/>
          <w:sz w:val="22"/>
        </w:rPr>
        <w:t>In enterprise environments governed by stringent compliance standards (such as GDPR, CCPA, and internal risk oversight), algorithmic recommendations cannot operate as unmonitored black boxes. RetainIQ establishes an immutable cryptographic SHA-256 audit ledger tracking every algorithmic recommendation and human override. Coupled with continuous Population Stability Index (PSI) tracking and multi-tier stress testing, the system sets a new standard for responsible, auditable AI governance.</w:t>
      </w:r>
    </w:p>
    <w:p>
      <w:pPr>
        <w:spacing w:before="160" w:after="80" w:line="276" w:lineRule="auto"/>
        <w:jc w:val="left"/>
      </w:pPr>
      <w:r>
        <w:rPr>
          <w:rFonts w:ascii="Times New Roman" w:hAnsi="Times New Roman"/>
          <w:b/>
          <w:color w:val="142D55"/>
          <w:sz w:val="26"/>
        </w:rPr>
        <w:t>1.2 PROJECT OBJECTIVES</w:t>
      </w:r>
    </w:p>
    <w:p>
      <w:pPr>
        <w:spacing w:before="0" w:after="80" w:line="276" w:lineRule="auto"/>
        <w:jc w:val="both"/>
      </w:pPr>
      <w:r>
        <w:rPr>
          <w:rFonts w:ascii="Times New Roman" w:hAnsi="Times New Roman"/>
          <w:color w:val="1E232D"/>
          <w:sz w:val="22"/>
        </w:rPr>
        <w:t>The overarching mission of RetainIQ is to engineer, validate, and deploy a complete prescriptive churn retention platform. The project is structured around six concrete, verifiable technical objectives:</w:t>
      </w:r>
    </w:p>
    <w:p>
      <w:pPr>
        <w:spacing w:before="60" w:after="80" w:line="276" w:lineRule="auto"/>
        <w:jc w:val="both"/>
      </w:pPr>
      <w:r>
        <w:rPr>
          <w:rFonts w:ascii="Times New Roman" w:hAnsi="Times New Roman"/>
          <w:b/>
          <w:color w:val="141E2D"/>
          <w:sz w:val="22"/>
        </w:rPr>
        <w:t xml:space="preserve">Objective 1: Ingestion &amp; Leakage-Free Preprocessing Pipeline. </w:t>
      </w:r>
      <w:r>
        <w:rPr>
          <w:rFonts w:ascii="Times New Roman" w:hAnsi="Times New Roman"/>
          <w:color w:val="1E232D"/>
          <w:sz w:val="22"/>
        </w:rPr>
        <w:t>Design and implement an end-to-end data processing pipeline for authentic telecommunications telemetry (IBM Telco cohort of 7,043 subscribers). The pipeline must handle whitespace missingness, enforce strict schema validation, perform one-hot categorical encoding with baseline drop, and isolate train/test splits prior to transformation to achieve a verified 0% data leakage status.</w:t>
      </w:r>
    </w:p>
    <w:p>
      <w:pPr>
        <w:spacing w:before="60" w:after="80" w:line="276" w:lineRule="auto"/>
        <w:jc w:val="both"/>
      </w:pPr>
      <w:r>
        <w:rPr>
          <w:rFonts w:ascii="Times New Roman" w:hAnsi="Times New Roman"/>
          <w:b/>
          <w:color w:val="141E2D"/>
          <w:sz w:val="22"/>
        </w:rPr>
        <w:t xml:space="preserve">Objective 2: Multi-Paradigm Survival Modeling &amp; Benchmarking. </w:t>
      </w:r>
      <w:r>
        <w:rPr>
          <w:rFonts w:ascii="Times New Roman" w:hAnsi="Times New Roman"/>
          <w:color w:val="1E232D"/>
          <w:sz w:val="22"/>
        </w:rPr>
        <w:t>Implement, tune, and systematically benchmark four foundational survival modeling paradigms: non-parametric Kaplan-Meier estimation, semi-parametric Cox Proportional Hazards (M1), parametric Weibull Accelerated Failure Time (M2), and non-linear Random Survival Forests (M3). Evaluate performance using Harrell's Concordance Index (C-Index) and Integrated Brier Score (IBS) across 30, 60, 90, and 180-day operational horizons.</w:t>
      </w:r>
    </w:p>
    <w:p>
      <w:pPr>
        <w:spacing w:before="60" w:after="80" w:line="276" w:lineRule="auto"/>
        <w:jc w:val="both"/>
      </w:pPr>
      <w:r>
        <w:rPr>
          <w:rFonts w:ascii="Times New Roman" w:hAnsi="Times New Roman"/>
          <w:b/>
          <w:color w:val="141E2D"/>
          <w:sz w:val="22"/>
        </w:rPr>
        <w:t xml:space="preserve">Objective 3: Heterogeneous Causal Treatment Effect (CATE) Estimation. </w:t>
      </w:r>
      <w:r>
        <w:rPr>
          <w:rFonts w:ascii="Times New Roman" w:hAnsi="Times New Roman"/>
          <w:color w:val="1E232D"/>
          <w:sz w:val="22"/>
        </w:rPr>
        <w:t>Formulate and deploy causal Meta-Learner architectures (S-Learner, T-Learner, and X-Learner) to estimate the counterfactual survival uplift tau_k(x) = Delta S(t|x) attributable to four candidate retention interventions: Basic Check-in ($5.00), Proactive Tech Support ($12.00), 15% Bill Discount ($18.50), and Long-Term Contract Incentive ($35.00). Validate ranking efficacy using cumulative Qini curves and PEHE RMSE.</w:t>
      </w:r>
    </w:p>
    <w:p>
      <w:pPr>
        <w:spacing w:before="60" w:after="80" w:line="276" w:lineRule="auto"/>
        <w:jc w:val="both"/>
      </w:pPr>
      <w:r>
        <w:rPr>
          <w:rFonts w:ascii="Times New Roman" w:hAnsi="Times New Roman"/>
          <w:b/>
          <w:color w:val="141E2D"/>
          <w:sz w:val="22"/>
        </w:rPr>
        <w:t xml:space="preserve">Objective 4: Prescriptive Ranking &amp; ERV Economic Engine. </w:t>
      </w:r>
      <w:r>
        <w:rPr>
          <w:rFonts w:ascii="Times New Roman" w:hAnsi="Times New Roman"/>
          <w:color w:val="1E232D"/>
          <w:sz w:val="22"/>
        </w:rPr>
        <w:t>Develop a personalized ranking engine that evaluates net Expected Retention Value (ERV = Delta S * LTV - Cost) for every customer-treatment pair. Implement constrained portfolio knapsack optimization that maximizes aggregate retained revenue under strict marketing budget caps while enforcing automated zero-cost fallbacks for non-responsive accounts.</w:t>
      </w:r>
    </w:p>
    <w:p>
      <w:pPr>
        <w:spacing w:before="60" w:after="80" w:line="276" w:lineRule="auto"/>
        <w:jc w:val="both"/>
      </w:pPr>
      <w:r>
        <w:rPr>
          <w:rFonts w:ascii="Times New Roman" w:hAnsi="Times New Roman"/>
          <w:b/>
          <w:color w:val="141E2D"/>
          <w:sz w:val="22"/>
        </w:rPr>
        <w:t xml:space="preserve">Objective 5: Enterprise Governance, Cryptographic Audit &amp; Stress Testing. </w:t>
      </w:r>
      <w:r>
        <w:rPr>
          <w:rFonts w:ascii="Times New Roman" w:hAnsi="Times New Roman"/>
          <w:color w:val="1E232D"/>
          <w:sz w:val="22"/>
        </w:rPr>
        <w:t>Engineer a tamper-evident audit trail using SHA-256 cryptographic hash chaining to record algorithmic decisions and manual analyst overrides. Implement automated Population Stability Index (PSI) drift monitoring and adversarial stress testing suites evaluating model resilience under feature noise and data missingness up to 30%.</w:t>
      </w:r>
    </w:p>
    <w:p>
      <w:pPr>
        <w:spacing w:before="60" w:after="80" w:line="276" w:lineRule="auto"/>
        <w:jc w:val="both"/>
      </w:pPr>
      <w:r>
        <w:rPr>
          <w:rFonts w:ascii="Times New Roman" w:hAnsi="Times New Roman"/>
          <w:b/>
          <w:color w:val="141E2D"/>
          <w:sz w:val="22"/>
        </w:rPr>
        <w:t xml:space="preserve">Objective 6: Dual Production Interfaces (FastAPI &amp; Streamlit). </w:t>
      </w:r>
      <w:r>
        <w:rPr>
          <w:rFonts w:ascii="Times New Roman" w:hAnsi="Times New Roman"/>
          <w:color w:val="1E232D"/>
          <w:sz w:val="22"/>
        </w:rPr>
        <w:t>Deliver a production-ready dual-interface system comprising: (a) a high-throughput, low-latency RESTful microservice built with FastAPI, supporting Pydantic-validated real-time scoring endpoints (&lt;15ms latency), and (b) an interactive, 11-page decision cockpit built with Streamlit providing executive portfolio summaries, customer 360 exploration, and what-if counterfactual simulators.</w:t>
      </w:r>
    </w:p>
    <w:p>
      <w:pPr>
        <w:spacing w:before="160" w:after="80" w:line="276" w:lineRule="auto"/>
        <w:jc w:val="left"/>
      </w:pPr>
      <w:r>
        <w:rPr>
          <w:rFonts w:ascii="Times New Roman" w:hAnsi="Times New Roman"/>
          <w:b/>
          <w:color w:val="142D55"/>
          <w:sz w:val="26"/>
        </w:rPr>
        <w:t>1.3 PURPOSE AND SCOPE</w:t>
      </w:r>
    </w:p>
    <w:p>
      <w:pPr>
        <w:spacing w:before="120" w:after="60" w:line="276" w:lineRule="auto"/>
        <w:jc w:val="left"/>
      </w:pPr>
      <w:r>
        <w:rPr>
          <w:rFonts w:ascii="Times New Roman" w:hAnsi="Times New Roman"/>
          <w:b/>
          <w:color w:val="1E375F"/>
          <w:sz w:val="23"/>
        </w:rPr>
        <w:t>1.3.1 Purpose</w:t>
      </w:r>
    </w:p>
    <w:p>
      <w:pPr>
        <w:spacing w:before="0" w:after="80" w:line="276" w:lineRule="auto"/>
        <w:jc w:val="both"/>
      </w:pPr>
      <w:r>
        <w:rPr>
          <w:rFonts w:ascii="Times New Roman" w:hAnsi="Times New Roman"/>
          <w:color w:val="1E232D"/>
          <w:sz w:val="22"/>
        </w:rPr>
        <w:t>The primary purpose of RetainIQ is to replace intuitive, ad-hoc, and economically destructive retention targeting practices with a mathematically rigorous, causally sound, and capital-efficient decision system. By transforming raw customer telemetry into calibrated survival probability curves and counterfactual uplift surfaces, RetainIQ empowers retention directors, marketing strategists, and customer success teams to answer three critical operational questions with quantitative certainty: (1) Exactly when is a specific subscriber at risk of departing? (2) Which specific intervention will maximize that subscriber's incremental survival duration? and (3) Does the expected financial gain from saving this customer exceed the cost of the prescribed intervention?</w:t>
      </w:r>
    </w:p>
    <w:p>
      <w:pPr>
        <w:spacing w:before="120" w:after="60" w:line="276" w:lineRule="auto"/>
        <w:jc w:val="left"/>
      </w:pPr>
      <w:r>
        <w:rPr>
          <w:rFonts w:ascii="Times New Roman" w:hAnsi="Times New Roman"/>
          <w:b/>
          <w:color w:val="1E375F"/>
          <w:sz w:val="23"/>
        </w:rPr>
        <w:t>1.3.2 Scope and Boundary Conditions</w:t>
      </w:r>
    </w:p>
    <w:p>
      <w:pPr>
        <w:spacing w:before="0" w:after="80" w:line="276" w:lineRule="auto"/>
        <w:jc w:val="both"/>
      </w:pPr>
      <w:r>
        <w:rPr>
          <w:rFonts w:ascii="Times New Roman" w:hAnsi="Times New Roman"/>
          <w:color w:val="1E232D"/>
          <w:sz w:val="22"/>
        </w:rPr>
        <w:t>To ensure academic rigor and engineering excellence, the operational scope and boundary conditions of this project are strictly defined:</w:t>
      </w:r>
    </w:p>
    <w:p>
      <w:pPr>
        <w:spacing w:before="40" w:after="60" w:line="276" w:lineRule="auto"/>
        <w:jc w:val="both"/>
      </w:pPr>
      <w:r>
        <w:rPr>
          <w:rFonts w:ascii="Times New Roman" w:hAnsi="Times New Roman"/>
          <w:b/>
          <w:color w:val="141E2D"/>
          <w:sz w:val="22"/>
        </w:rPr>
        <w:t xml:space="preserve">Survival Analysis: </w:t>
      </w:r>
      <w:r>
        <w:rPr>
          <w:rFonts w:ascii="Times New Roman" w:hAnsi="Times New Roman"/>
          <w:color w:val="1E232D"/>
          <w:sz w:val="22"/>
        </w:rPr>
        <w:t>Complete non-parametric, semi-parametric, and parametric survival curve estimation, hazard ratio attribution, time-dependent Brier score calibration, and Harrell's C-index evaluation across 7,043 telecommunications accounts.</w:t>
      </w:r>
    </w:p>
    <w:p>
      <w:pPr>
        <w:spacing w:before="40" w:after="60" w:line="276" w:lineRule="auto"/>
        <w:jc w:val="both"/>
      </w:pPr>
      <w:r>
        <w:rPr>
          <w:rFonts w:ascii="Times New Roman" w:hAnsi="Times New Roman"/>
          <w:b/>
          <w:color w:val="141E2D"/>
          <w:sz w:val="22"/>
        </w:rPr>
        <w:t xml:space="preserve">Causal Uplift Modeling: </w:t>
      </w:r>
      <w:r>
        <w:rPr>
          <w:rFonts w:ascii="Times New Roman" w:hAnsi="Times New Roman"/>
          <w:color w:val="1E232D"/>
          <w:sz w:val="22"/>
        </w:rPr>
        <w:t>Implementation of S-Learner, T-Learner, and X-Learner meta-learning frameworks estimating individual-level heterogeneous treatment effects across four predefined operational retention interventions.</w:t>
      </w:r>
    </w:p>
    <w:p>
      <w:pPr>
        <w:spacing w:before="40" w:after="60" w:line="276" w:lineRule="auto"/>
        <w:jc w:val="both"/>
      </w:pPr>
      <w:r>
        <w:rPr>
          <w:rFonts w:ascii="Times New Roman" w:hAnsi="Times New Roman"/>
          <w:b/>
          <w:color w:val="141E2D"/>
          <w:sz w:val="22"/>
        </w:rPr>
        <w:t xml:space="preserve">Prescriptive Economic Optimization: </w:t>
      </w:r>
      <w:r>
        <w:rPr>
          <w:rFonts w:ascii="Times New Roman" w:hAnsi="Times New Roman"/>
          <w:color w:val="1E232D"/>
          <w:sz w:val="22"/>
        </w:rPr>
        <w:t>Individual-level ERV ranking, portfolio knapsack budget optimization, margin-protecting fallback logic, and single-customer counterfactual what-if simulation.</w:t>
      </w:r>
    </w:p>
    <w:p>
      <w:pPr>
        <w:spacing w:before="40" w:after="60" w:line="276" w:lineRule="auto"/>
        <w:jc w:val="both"/>
      </w:pPr>
      <w:r>
        <w:rPr>
          <w:rFonts w:ascii="Times New Roman" w:hAnsi="Times New Roman"/>
          <w:b/>
          <w:color w:val="141E2D"/>
          <w:sz w:val="22"/>
        </w:rPr>
        <w:t xml:space="preserve">Enterprise Governance: </w:t>
      </w:r>
      <w:r>
        <w:rPr>
          <w:rFonts w:ascii="Times New Roman" w:hAnsi="Times New Roman"/>
          <w:color w:val="1E232D"/>
          <w:sz w:val="22"/>
        </w:rPr>
        <w:t>Cryptographic SHA-256 audit logging, automated tamper verification, PSI drift monitoring, and adversarial missingness/noise stress testing.</w:t>
      </w:r>
    </w:p>
    <w:p>
      <w:pPr>
        <w:spacing w:before="40" w:after="60" w:line="276" w:lineRule="auto"/>
        <w:jc w:val="both"/>
      </w:pPr>
      <w:r>
        <w:rPr>
          <w:rFonts w:ascii="Times New Roman" w:hAnsi="Times New Roman"/>
          <w:b/>
          <w:color w:val="141E2D"/>
          <w:sz w:val="22"/>
        </w:rPr>
        <w:t xml:space="preserve">Software Engineering &amp; Delivery: </w:t>
      </w:r>
      <w:r>
        <w:rPr>
          <w:rFonts w:ascii="Times New Roman" w:hAnsi="Times New Roman"/>
          <w:color w:val="1E232D"/>
          <w:sz w:val="22"/>
        </w:rPr>
        <w:t>Full implementation of a 27-test automated pytest verification suite, FastAPI REST microservice, and an 11-page interactive Streamlit dashboard.</w:t>
      </w:r>
    </w:p>
    <w:p>
      <w:pPr>
        <w:spacing w:before="80" w:after="80" w:line="276" w:lineRule="auto"/>
        <w:jc w:val="both"/>
      </w:pPr>
      <w:r>
        <w:rPr>
          <w:rFonts w:ascii="Times New Roman" w:hAnsi="Times New Roman"/>
          <w:b/>
          <w:sz w:val="22"/>
        </w:rPr>
        <w:t xml:space="preserve">Explicit Out-of-Scope Boundaries: </w:t>
      </w:r>
      <w:r>
        <w:rPr>
          <w:rFonts w:ascii="Times New Roman" w:hAnsi="Times New Roman"/>
          <w:sz w:val="22"/>
        </w:rPr>
        <w:t>This project does not encompass physical telecommunications hardware telemetry (e.g., real-time cell tower packet routing or optical fiber signal attenuation), online continuous reinforcement learning under non-stationary real-world streaming data, or outbound physical telephony call-center dialing automation. In addition, in accordance with the project instructions, treatment effects are estimated and benchmarked on observational and simulated intervention telemetry rather than an active, multi-million-dollar randomized clinical trial.</w:t>
      </w:r>
    </w:p>
    <w:p>
      <w:pPr>
        <w:spacing w:before="160" w:after="80" w:line="276" w:lineRule="auto"/>
        <w:jc w:val="left"/>
      </w:pPr>
      <w:r>
        <w:rPr>
          <w:rFonts w:ascii="Times New Roman" w:hAnsi="Times New Roman"/>
          <w:b/>
          <w:color w:val="142D55"/>
          <w:sz w:val="26"/>
        </w:rPr>
        <w:t>1.4 ENTERPRISE APPLICABILITY</w:t>
      </w:r>
    </w:p>
    <w:p>
      <w:pPr>
        <w:spacing w:before="0" w:after="80" w:line="276" w:lineRule="auto"/>
        <w:jc w:val="both"/>
      </w:pPr>
      <w:r>
        <w:rPr>
          <w:rFonts w:ascii="Times New Roman" w:hAnsi="Times New Roman"/>
          <w:color w:val="1E232D"/>
          <w:sz w:val="22"/>
        </w:rPr>
        <w:t>While demonstrated on an authentic telecommunications cohort, the underlying mathematical and architectural principles of RetainIQ are universally applicable across diverse recurring-revenue and contractual business models:</w:t>
      </w:r>
    </w:p>
    <w:p>
      <w:pPr>
        <w:spacing w:before="40" w:after="60" w:line="276" w:lineRule="auto"/>
        <w:jc w:val="both"/>
      </w:pPr>
      <w:r>
        <w:rPr>
          <w:rFonts w:ascii="Times New Roman" w:hAnsi="Times New Roman"/>
          <w:b/>
          <w:color w:val="141E2D"/>
          <w:sz w:val="22"/>
        </w:rPr>
        <w:t xml:space="preserve">Telecommunications and Internet Service Providers (ISPs): </w:t>
      </w:r>
      <w:r>
        <w:rPr>
          <w:rFonts w:ascii="Times New Roman" w:hAnsi="Times New Roman"/>
          <w:color w:val="1E232D"/>
          <w:sz w:val="22"/>
        </w:rPr>
        <w:t>Optimizing contract renewal incentives, equipment upgrades (e.g., fiber router migrations), and bundle discounts for high-value subscribers facing fiber-optic competitive pressures.</w:t>
      </w:r>
    </w:p>
    <w:p>
      <w:pPr>
        <w:spacing w:before="40" w:after="60" w:line="276" w:lineRule="auto"/>
        <w:jc w:val="both"/>
      </w:pPr>
      <w:r>
        <w:rPr>
          <w:rFonts w:ascii="Times New Roman" w:hAnsi="Times New Roman"/>
          <w:b/>
          <w:color w:val="141E2D"/>
          <w:sz w:val="22"/>
        </w:rPr>
        <w:t xml:space="preserve">Enterprise Cloud Software-as-a-Service (SaaS): </w:t>
      </w:r>
      <w:r>
        <w:rPr>
          <w:rFonts w:ascii="Times New Roman" w:hAnsi="Times New Roman"/>
          <w:color w:val="1E232D"/>
          <w:sz w:val="22"/>
        </w:rPr>
        <w:t>Preserving recurring software licenses by tracking seat utilization and feature engagement decay, deploying proactive customer success training interventions prior to annual master service agreement (MSA) renewals.</w:t>
      </w:r>
    </w:p>
    <w:p>
      <w:pPr>
        <w:spacing w:before="40" w:after="60" w:line="276" w:lineRule="auto"/>
        <w:jc w:val="both"/>
      </w:pPr>
      <w:r>
        <w:rPr>
          <w:rFonts w:ascii="Times New Roman" w:hAnsi="Times New Roman"/>
          <w:b/>
          <w:color w:val="141E2D"/>
          <w:sz w:val="22"/>
        </w:rPr>
        <w:t xml:space="preserve">Direct-to-Consumer (D2C) Subscription Media: </w:t>
      </w:r>
      <w:r>
        <w:rPr>
          <w:rFonts w:ascii="Times New Roman" w:hAnsi="Times New Roman"/>
          <w:color w:val="1E232D"/>
          <w:sz w:val="22"/>
        </w:rPr>
        <w:t>Preventing subscriber attrition on platforms such as Netflix, Spotify, or digital news publications by deploying personalized content recommendations or temporary billing pauses to disengaged accounts without cannibalizing full-rate renewals.</w:t>
      </w:r>
    </w:p>
    <w:p>
      <w:pPr>
        <w:spacing w:before="40" w:after="60" w:line="276" w:lineRule="auto"/>
        <w:jc w:val="both"/>
      </w:pPr>
      <w:r>
        <w:rPr>
          <w:rFonts w:ascii="Times New Roman" w:hAnsi="Times New Roman"/>
          <w:b/>
          <w:color w:val="141E2D"/>
          <w:sz w:val="22"/>
        </w:rPr>
        <w:t xml:space="preserve">Retail Banking and Credit Card Services: </w:t>
      </w:r>
      <w:r>
        <w:rPr>
          <w:rFonts w:ascii="Times New Roman" w:hAnsi="Times New Roman"/>
          <w:color w:val="1E232D"/>
          <w:sz w:val="22"/>
        </w:rPr>
        <w:t>Predicting account dormancy and card inactivation, selectively allocating fee waivers, bonus rewards points, or dedicated relationship management check-ins to high-LTV cardholders.</w:t>
      </w:r>
    </w:p>
    <w:p>
      <w:pPr>
        <w:spacing w:before="40" w:after="60" w:line="276" w:lineRule="auto"/>
        <w:jc w:val="both"/>
      </w:pPr>
      <w:r>
        <w:rPr>
          <w:rFonts w:ascii="Times New Roman" w:hAnsi="Times New Roman"/>
          <w:b/>
          <w:color w:val="141E2D"/>
          <w:sz w:val="22"/>
        </w:rPr>
        <w:t xml:space="preserve">Insurance Policy Underwriting and Auto-Renewal: </w:t>
      </w:r>
      <w:r>
        <w:rPr>
          <w:rFonts w:ascii="Times New Roman" w:hAnsi="Times New Roman"/>
          <w:color w:val="1E232D"/>
          <w:sz w:val="22"/>
        </w:rPr>
        <w:t>Forecasting policy lapse hazards at annual renewal cycles, prescribing tailored premium adjustments or deductible restructuring to retain safe, low-loss-ratio policyholders.</w:t>
      </w:r>
    </w:p>
    <w:p>
      <w:pPr>
        <w:spacing w:before="160" w:after="80" w:line="276" w:lineRule="auto"/>
        <w:jc w:val="left"/>
      </w:pPr>
      <w:r>
        <w:rPr>
          <w:rFonts w:ascii="Times New Roman" w:hAnsi="Times New Roman"/>
          <w:b/>
          <w:color w:val="142D55"/>
          <w:sz w:val="26"/>
        </w:rPr>
        <w:t>1.5 TECHNICAL AND EMPIRICAL ACHIEVEMENTS</w:t>
      </w:r>
    </w:p>
    <w:p>
      <w:pPr>
        <w:spacing w:before="0" w:after="80" w:line="276" w:lineRule="auto"/>
        <w:jc w:val="both"/>
      </w:pPr>
      <w:r>
        <w:rPr>
          <w:rFonts w:ascii="Times New Roman" w:hAnsi="Times New Roman"/>
          <w:color w:val="1E232D"/>
          <w:sz w:val="22"/>
        </w:rPr>
        <w:t>The RetainIQ project has successfully accomplished all design goals and delivered verifiable, production-grade outputs:</w:t>
      </w:r>
    </w:p>
    <w:p>
      <w:pPr>
        <w:spacing w:before="40" w:after="60" w:line="276" w:lineRule="auto"/>
        <w:jc w:val="both"/>
      </w:pPr>
      <w:r>
        <w:rPr>
          <w:rFonts w:ascii="Times New Roman" w:hAnsi="Times New Roman"/>
          <w:b/>
          <w:color w:val="141E2D"/>
          <w:sz w:val="22"/>
        </w:rPr>
        <w:t xml:space="preserve">100% Verified Zero-Leakage Pipeline: </w:t>
      </w:r>
      <w:r>
        <w:rPr>
          <w:rFonts w:ascii="Times New Roman" w:hAnsi="Times New Roman"/>
          <w:color w:val="1E232D"/>
          <w:sz w:val="22"/>
        </w:rPr>
        <w:t>Constructed a clean, reproducible preprocessing pipeline across 7,043 customer accounts, resolving 11 whitespace-missing values in TotalCharges through median imputation, and establishing strict temporal isolation with an automated leakage test suite.</w:t>
      </w:r>
    </w:p>
    <w:p>
      <w:pPr>
        <w:spacing w:before="40" w:after="60" w:line="276" w:lineRule="auto"/>
        <w:jc w:val="both"/>
      </w:pPr>
      <w:r>
        <w:rPr>
          <w:rFonts w:ascii="Times New Roman" w:hAnsi="Times New Roman"/>
          <w:b/>
          <w:color w:val="141E2D"/>
          <w:sz w:val="22"/>
        </w:rPr>
        <w:t xml:space="preserve">State-of-the-Art Survival Discrimination: </w:t>
      </w:r>
      <w:r>
        <w:rPr>
          <w:rFonts w:ascii="Times New Roman" w:hAnsi="Times New Roman"/>
          <w:color w:val="1E232D"/>
          <w:sz w:val="22"/>
        </w:rPr>
        <w:t>Achieved a test Concordance Index (C-Index) of 0.8697 with the Weibull AFT model and 0.8694 with Cox Proportional Hazards, representing a +4.14 percentage-point improvement over the standard naive binary logistic classifier baseline (0.8283).</w:t>
      </w:r>
    </w:p>
    <w:p>
      <w:pPr>
        <w:spacing w:before="40" w:after="60" w:line="276" w:lineRule="auto"/>
        <w:jc w:val="both"/>
      </w:pPr>
      <w:r>
        <w:rPr>
          <w:rFonts w:ascii="Times New Roman" w:hAnsi="Times New Roman"/>
          <w:b/>
          <w:color w:val="141E2D"/>
          <w:sz w:val="22"/>
        </w:rPr>
        <w:t xml:space="preserve">Superior Probabilistic Calibration: </w:t>
      </w:r>
      <w:r>
        <w:rPr>
          <w:rFonts w:ascii="Times New Roman" w:hAnsi="Times New Roman"/>
          <w:color w:val="1E232D"/>
          <w:sz w:val="22"/>
        </w:rPr>
        <w:t>Delivered an exceptional Integrated Brier Score (IBS) of 0.0818 at the 90-day operational horizon, outperforming the baseline (0.1336) by 38.8%, proving reliable, unskewed risk quantification.</w:t>
      </w:r>
    </w:p>
    <w:p>
      <w:pPr>
        <w:spacing w:before="40" w:after="60" w:line="276" w:lineRule="auto"/>
        <w:jc w:val="both"/>
      </w:pPr>
      <w:r>
        <w:rPr>
          <w:rFonts w:ascii="Times New Roman" w:hAnsi="Times New Roman"/>
          <w:b/>
          <w:color w:val="141E2D"/>
          <w:sz w:val="22"/>
        </w:rPr>
        <w:t xml:space="preserve">High-Performance Uplift Ranking: </w:t>
      </w:r>
      <w:r>
        <w:rPr>
          <w:rFonts w:ascii="Times New Roman" w:hAnsi="Times New Roman"/>
          <w:color w:val="1E232D"/>
          <w:sz w:val="22"/>
        </w:rPr>
        <w:t>Trained and evaluated causal meta-learners, with the T-Learner achieving a mean Qini score of 0.6920 across four treatments, outperforming the S-Learner (0.4046) and enabling high-precision identification of responsive subscribers.</w:t>
      </w:r>
    </w:p>
    <w:p>
      <w:pPr>
        <w:spacing w:before="40" w:after="60" w:line="276" w:lineRule="auto"/>
        <w:jc w:val="both"/>
      </w:pPr>
      <w:r>
        <w:rPr>
          <w:rFonts w:ascii="Times New Roman" w:hAnsi="Times New Roman"/>
          <w:b/>
          <w:color w:val="141E2D"/>
          <w:sz w:val="22"/>
        </w:rPr>
        <w:t xml:space="preserve">Demonstrated Portfolio ERV Optimization: </w:t>
      </w:r>
      <w:r>
        <w:rPr>
          <w:rFonts w:ascii="Times New Roman" w:hAnsi="Times New Roman"/>
          <w:color w:val="1E232D"/>
          <w:sz w:val="22"/>
        </w:rPr>
        <w:t>Engineered an optimization engine that allocated 1,248 accounts from a 1,873-candidate pool, maximizing Net Expected Retention Value at $48,920 under a $15,000 budget cap, delivering a verified 329.2% campaign ROI.</w:t>
      </w:r>
    </w:p>
    <w:p>
      <w:pPr>
        <w:spacing w:before="40" w:after="60" w:line="276" w:lineRule="auto"/>
        <w:jc w:val="both"/>
      </w:pPr>
      <w:r>
        <w:rPr>
          <w:rFonts w:ascii="Times New Roman" w:hAnsi="Times New Roman"/>
          <w:b/>
          <w:color w:val="141E2D"/>
          <w:sz w:val="22"/>
        </w:rPr>
        <w:t xml:space="preserve">Comprehensive Automated Test Coverage: </w:t>
      </w:r>
      <w:r>
        <w:rPr>
          <w:rFonts w:ascii="Times New Roman" w:hAnsi="Times New Roman"/>
          <w:color w:val="1E232D"/>
          <w:sz w:val="22"/>
        </w:rPr>
        <w:t>Executed an automated test suite comprising 27 comprehensive pytest test cases covering data preprocessing, leakage guards, survival monotonicity, uplift evaluation, API contracts, and cryptographic tampering, achieving a 100% PASS rate.</w:t>
      </w:r>
    </w:p>
    <w:p>
      <w:pPr>
        <w:spacing w:before="40" w:after="60" w:line="276" w:lineRule="auto"/>
        <w:jc w:val="both"/>
      </w:pPr>
      <w:r>
        <w:rPr>
          <w:rFonts w:ascii="Times New Roman" w:hAnsi="Times New Roman"/>
          <w:b/>
          <w:color w:val="141E2D"/>
          <w:sz w:val="22"/>
        </w:rPr>
        <w:t xml:space="preserve">Sub-15ms Enterprise API Microservice: </w:t>
      </w:r>
      <w:r>
        <w:rPr>
          <w:rFonts w:ascii="Times New Roman" w:hAnsi="Times New Roman"/>
          <w:color w:val="1E232D"/>
          <w:sz w:val="22"/>
        </w:rPr>
        <w:t>Engineered a production FastAPI microservice featuring Pydantic request/response schema validation, CORS security, health probes, and real-time survival scoring with an average response latency of under 15 milliseconds.</w:t>
      </w:r>
    </w:p>
    <w:p>
      <w:pPr>
        <w:spacing w:before="40" w:after="60" w:line="276" w:lineRule="auto"/>
        <w:jc w:val="both"/>
      </w:pPr>
      <w:r>
        <w:rPr>
          <w:rFonts w:ascii="Times New Roman" w:hAnsi="Times New Roman"/>
          <w:b/>
          <w:color w:val="141E2D"/>
          <w:sz w:val="22"/>
        </w:rPr>
        <w:t xml:space="preserve">Full-Featured 11-Page Interactive Dashboard: </w:t>
      </w:r>
      <w:r>
        <w:rPr>
          <w:rFonts w:ascii="Times New Roman" w:hAnsi="Times New Roman"/>
          <w:color w:val="1E232D"/>
          <w:sz w:val="22"/>
        </w:rPr>
        <w:t>Developed an intuitive, dark-mode Streamlit decision console providing executive KPI overviews, customer 360 profiling, what-if treatment simulation, campaign budgeting, model explainability, and cryptographic audit ledger inspection.</w:t>
      </w:r>
    </w:p>
    <w:p>
      <w:r>
        <w:br w:type="page"/>
      </w:r>
    </w:p>
    <w:p>
      <w:pPr>
        <w:spacing w:before="300" w:after="240" w:line="276" w:lineRule="auto"/>
        <w:jc w:val="left"/>
      </w:pPr>
      <w:r>
        <w:rPr>
          <w:rFonts w:ascii="Times New Roman" w:hAnsi="Times New Roman"/>
          <w:b/>
          <w:color w:val="0F1E41"/>
          <w:sz w:val="30"/>
        </w:rPr>
        <w:t>CHAPTER 2: SYSTEM ANALYSIS</w:t>
      </w:r>
    </w:p>
    <w:p>
      <w:pPr>
        <w:spacing w:before="0" w:after="80" w:line="276" w:lineRule="auto"/>
        <w:jc w:val="both"/>
      </w:pPr>
      <w:r>
        <w:rPr>
          <w:rFonts w:ascii="Times New Roman" w:hAnsi="Times New Roman"/>
          <w:color w:val="1E232D"/>
          <w:sz w:val="22"/>
        </w:rPr>
        <w:t>System analysis constitutes the critical diagnostic phase of software and data science engineering. In this phase, the structural deficiencies of prevailing industry practices are methodically examined, the theoretical and commercial foundations of the proposed architecture are established, and comprehensive functional and operational requirements are defined. This chapter presents an exhaustive comparative critique of existing commercial churn prediction systems, introduces the architectural paradigm of RetainIQ, details hardware and software dependencies, and provides an in-depth survey of the algorithmic foundations enabling survival-based retention modeling.</w:t>
      </w:r>
    </w:p>
    <w:p>
      <w:pPr>
        <w:spacing w:before="160" w:after="80" w:line="276" w:lineRule="auto"/>
        <w:jc w:val="left"/>
      </w:pPr>
      <w:r>
        <w:rPr>
          <w:rFonts w:ascii="Times New Roman" w:hAnsi="Times New Roman"/>
          <w:b/>
          <w:color w:val="142D55"/>
          <w:sz w:val="26"/>
        </w:rPr>
        <w:t>2.1 EXISTING SYSTEM AND THEORETICAL LIMITATIONS</w:t>
      </w:r>
    </w:p>
    <w:p>
      <w:pPr>
        <w:spacing w:before="0" w:after="80" w:line="276" w:lineRule="auto"/>
        <w:jc w:val="both"/>
      </w:pPr>
      <w:r>
        <w:rPr>
          <w:rFonts w:ascii="Times New Roman" w:hAnsi="Times New Roman"/>
          <w:color w:val="1E232D"/>
          <w:sz w:val="22"/>
        </w:rPr>
        <w:t>In contemporary enterprise environments, customer churn prediction pipelines are almost universally framed as standard supervised binary classification tasks. In such architectures, customer account telemetry (e.g., tenure, monthly charges, contract type, and service usage) is collected at an arbitrary snapshot date t_0. A target label Y in {0, 1} is assigned based on whether the account formally terminates its contract within a fixed forward-looking observation window Delta t (typically 30, 60, or 90 days):</w:t>
      </w:r>
    </w:p>
    <w:p>
      <w:pPr>
        <w:spacing w:before="80" w:after="120" w:line="276" w:lineRule="auto"/>
        <w:jc w:val="center"/>
      </w:pPr>
      <w:r>
        <w:rPr>
          <w:rFonts w:ascii="Times New Roman" w:hAnsi="Times New Roman"/>
          <w:i/>
          <w:color w:val="28323C"/>
          <w:sz w:val="22"/>
        </w:rPr>
        <w:t xml:space="preserve">   Mathematical Definition: </w:t>
      </w:r>
      <w:r>
        <w:rPr>
          <w:rFonts w:ascii="Times New Roman" w:hAnsi="Times New Roman"/>
          <w:color w:val="1E232D"/>
          <w:sz w:val="22"/>
        </w:rPr>
        <w:t>Y_i = 1 if T_i &lt;= t_0 + Delta t, else 0</w:t>
      </w:r>
    </w:p>
    <w:p>
      <w:pPr>
        <w:spacing w:before="0" w:after="80" w:line="276" w:lineRule="auto"/>
        <w:jc w:val="both"/>
      </w:pPr>
      <w:r>
        <w:rPr>
          <w:rFonts w:ascii="Times New Roman" w:hAnsi="Times New Roman"/>
          <w:color w:val="1E232D"/>
          <w:sz w:val="22"/>
        </w:rPr>
        <w:t>Supervised classifiers—such as Logistic Regression, Random Forests, XGBoost, or multilayer perceptrons—are trained to estimate the conditional probability P(Y_i = 1 | X_i). While widely adopted due to off-the-shelf software accessibility, this formulation suffers from four catastrophic theoretical and practical failures:</w:t>
      </w:r>
    </w:p>
    <w:p>
      <w:pPr>
        <w:spacing w:before="60" w:after="80" w:line="276" w:lineRule="auto"/>
        <w:jc w:val="both"/>
      </w:pPr>
      <w:r>
        <w:rPr>
          <w:rFonts w:ascii="Times New Roman" w:hAnsi="Times New Roman"/>
          <w:b/>
          <w:color w:val="141E2D"/>
          <w:sz w:val="22"/>
        </w:rPr>
        <w:t xml:space="preserve">1. Survival Blindness and Temporal Information Loss: </w:t>
      </w:r>
      <w:r>
        <w:rPr>
          <w:rFonts w:ascii="Times New Roman" w:hAnsi="Times New Roman"/>
          <w:color w:val="1E232D"/>
          <w:sz w:val="22"/>
        </w:rPr>
        <w:t>Binary classification compresses continuous time into a single boolean state. It cannot differentiate between a customer who cancels immediately on Day 1 versus a customer who cancels on Day 89. This temporal blindness prevents retention teams from sequencing proactive touchpoints, understanding early-tenure onboarding vulnerability, or projecting multi-quarter revenue depletion.</w:t>
      </w:r>
    </w:p>
    <w:p>
      <w:pPr>
        <w:spacing w:before="60" w:after="80" w:line="276" w:lineRule="auto"/>
        <w:jc w:val="both"/>
      </w:pPr>
      <w:r>
        <w:rPr>
          <w:rFonts w:ascii="Times New Roman" w:hAnsi="Times New Roman"/>
          <w:b/>
          <w:color w:val="141E2D"/>
          <w:sz w:val="22"/>
        </w:rPr>
        <w:t xml:space="preserve">2. Right-Censoring Distortion and Downward Survival Bias: </w:t>
      </w:r>
      <w:r>
        <w:rPr>
          <w:rFonts w:ascii="Times New Roman" w:hAnsi="Times New Roman"/>
          <w:color w:val="1E232D"/>
          <w:sz w:val="22"/>
        </w:rPr>
        <w:t>In real-world recurring business models, the vast majority of subscribers remain active at any given analysis snapshot. In the IBM Telco cohort, 73.46% of accounts (5,174 out of 7,043) are right-censored—meaning their true lifetime T exceeds the observed duration. Binary classification algorithms possess no mathematical capacity to incorporate censored likelihood contributions. Labeling all active subscribers as '0' introduces severe downward bias into churn risk scores, treating ongoing loyalty as a static negative class rather than an unresolved continuous duration.</w:t>
      </w:r>
    </w:p>
    <w:p>
      <w:pPr>
        <w:spacing w:before="60" w:after="80" w:line="276" w:lineRule="auto"/>
        <w:jc w:val="both"/>
      </w:pPr>
      <w:r>
        <w:rPr>
          <w:rFonts w:ascii="Times New Roman" w:hAnsi="Times New Roman"/>
          <w:b/>
          <w:color w:val="141E2D"/>
          <w:sz w:val="22"/>
        </w:rPr>
        <w:t xml:space="preserve">3. The Association vs. Causation Fallacy in Treatment Targeting: </w:t>
      </w:r>
      <w:r>
        <w:rPr>
          <w:rFonts w:ascii="Times New Roman" w:hAnsi="Times New Roman"/>
          <w:color w:val="1E232D"/>
          <w:sz w:val="22"/>
        </w:rPr>
        <w:t>Commercial retention teams routinely use the predicted churn probability P(Y=1|X) as an actionable rank-ordering for marketing campaigns. This represents a catastrophic conceptual error. A high churn probability indicates that an account is at high risk, but it does NOT indicate that the account will respond favorably to an intervention. Modern uplift literature categorizes customers into four behavioral segments: (a) 'Persuadables' (retain only if treated), (b) 'Sure Things' (retain regardless of treatment), (c) 'Lost Causes' (churn regardless of treatment), and (d) 'Sleeping Dogs' or 'Do Not Disturb' (churn specifically because an intrusive intervention was triggered). Targeting the highest-risk deciles inevitably wastes retention capital on 'Lost Causes' while missing high-leverage 'Persuadables' who possess moderate baseline risk but high treatment sensitivity.</w:t>
      </w:r>
    </w:p>
    <w:p>
      <w:pPr>
        <w:spacing w:before="60" w:after="80" w:line="276" w:lineRule="auto"/>
        <w:jc w:val="both"/>
      </w:pPr>
      <w:r>
        <w:rPr>
          <w:rFonts w:ascii="Times New Roman" w:hAnsi="Times New Roman"/>
          <w:b/>
          <w:color w:val="141E2D"/>
          <w:sz w:val="22"/>
        </w:rPr>
        <w:t xml:space="preserve">4. Total Absence of Intervention Unit Economics: </w:t>
      </w:r>
      <w:r>
        <w:rPr>
          <w:rFonts w:ascii="Times New Roman" w:hAnsi="Times New Roman"/>
          <w:color w:val="1E232D"/>
          <w:sz w:val="22"/>
        </w:rPr>
        <w:t>Binary classifiers output unitless probabilities unmoored from financial reality. They provide no mechanism to incorporate the unit cost of retention treatments (e.g., $5 check-in call vs. $35 hardware incentive) against the residual Lifetime Value (LTV) of the customer. Consequently, marketing teams frequently deploy expensive interventions on low-value subscribers whose future margins can never recoup the cost of the retention campaign, resulting in negative net enterprise ROI.</w:t>
      </w:r>
    </w:p>
    <w:p>
      <w:pPr>
        <w:spacing w:before="160" w:after="80" w:line="276" w:lineRule="auto"/>
        <w:jc w:val="left"/>
      </w:pPr>
      <w:r>
        <w:rPr>
          <w:rFonts w:ascii="Times New Roman" w:hAnsi="Times New Roman"/>
          <w:b/>
          <w:color w:val="142D55"/>
          <w:sz w:val="26"/>
        </w:rPr>
        <w:t>2.2 PROPOSED SYSTEM: RETAINIQ ARCHITECTURE</w:t>
      </w:r>
    </w:p>
    <w:p>
      <w:pPr>
        <w:spacing w:before="0" w:after="80" w:line="276" w:lineRule="auto"/>
        <w:jc w:val="both"/>
      </w:pPr>
      <w:r>
        <w:rPr>
          <w:rFonts w:ascii="Times New Roman" w:hAnsi="Times New Roman"/>
          <w:color w:val="1E232D"/>
          <w:sz w:val="22"/>
        </w:rPr>
        <w:t>RetainIQ fundamentally reframes the customer retention problem by integrating continuous-time statistical survival analysis with causal uplift modeling and prescriptive economic optimization. Instead of asking 'Will this customer churn?', RetainIQ asks: 'What is the full survival trajectory S_i(t) of this customer, which specific intervention will causally maximize their incremental survival gain Delta S_ik(t), and what is the net Expected Retention Value (ERV) after accounting for treatment costs?'</w:t>
      </w:r>
    </w:p>
    <w:p>
      <w:pPr>
        <w:spacing w:before="0" w:after="80" w:line="276" w:lineRule="auto"/>
        <w:jc w:val="both"/>
      </w:pPr>
      <w:r>
        <w:rPr>
          <w:rFonts w:ascii="Times New Roman" w:hAnsi="Times New Roman"/>
          <w:color w:val="1E232D"/>
          <w:sz w:val="22"/>
        </w:rPr>
        <w:t>RetainIQ introduces four major architectural innovations over existing commercial pipelines:</w:t>
      </w:r>
    </w:p>
    <w:p>
      <w:pPr>
        <w:spacing w:before="40" w:after="60" w:line="276" w:lineRule="auto"/>
        <w:jc w:val="both"/>
      </w:pPr>
      <w:r>
        <w:rPr>
          <w:rFonts w:ascii="Times New Roman" w:hAnsi="Times New Roman"/>
          <w:b/>
          <w:color w:val="141E2D"/>
          <w:sz w:val="22"/>
        </w:rPr>
        <w:t xml:space="preserve">Continuous Survival Dynamics: </w:t>
      </w:r>
      <w:r>
        <w:rPr>
          <w:rFonts w:ascii="Times New Roman" w:hAnsi="Times New Roman"/>
          <w:color w:val="1E232D"/>
          <w:sz w:val="22"/>
        </w:rPr>
        <w:t>The system estimates individual survival curves S_i(t) = P(T_i &gt; t) and hazard rates h_i(t) across arbitrary time horizons. By correctly incorporating right-censored observations via partial and full likelihood estimation, RetainIQ eliminates downward survival bias and provides granular visibility into 30, 60, 90, 180, and 365-day retention probabilities from a single model.</w:t>
      </w:r>
    </w:p>
    <w:p>
      <w:pPr>
        <w:spacing w:before="40" w:after="60" w:line="276" w:lineRule="auto"/>
        <w:jc w:val="both"/>
      </w:pPr>
      <w:r>
        <w:rPr>
          <w:rFonts w:ascii="Times New Roman" w:hAnsi="Times New Roman"/>
          <w:b/>
          <w:color w:val="141E2D"/>
          <w:sz w:val="22"/>
        </w:rPr>
        <w:t xml:space="preserve">Heterogeneous Causal Treatment Uplift (CATE): </w:t>
      </w:r>
      <w:r>
        <w:rPr>
          <w:rFonts w:ascii="Times New Roman" w:hAnsi="Times New Roman"/>
          <w:color w:val="1E232D"/>
          <w:sz w:val="22"/>
        </w:rPr>
        <w:t>RetainIQ implements causal Meta-Learner frameworks (T-Learner and S-Learner) to isolate the counterfactual effect of specific retention treatments. By modeling the Conditional Average Treatment Effect tau_ik(x) = E[S_k(t) - S_0(t) | X=x], the system targets only those subscribers who demonstrate true incremental responsiveness ('Persuadables').</w:t>
      </w:r>
    </w:p>
    <w:p>
      <w:pPr>
        <w:spacing w:before="40" w:after="60" w:line="276" w:lineRule="auto"/>
        <w:jc w:val="both"/>
      </w:pPr>
      <w:r>
        <w:rPr>
          <w:rFonts w:ascii="Times New Roman" w:hAnsi="Times New Roman"/>
          <w:b/>
          <w:color w:val="141E2D"/>
          <w:sz w:val="22"/>
        </w:rPr>
        <w:t xml:space="preserve">Prescriptive Knapsack ERV Optimization: </w:t>
      </w:r>
      <w:r>
        <w:rPr>
          <w:rFonts w:ascii="Times New Roman" w:hAnsi="Times New Roman"/>
          <w:color w:val="1E232D"/>
          <w:sz w:val="22"/>
        </w:rPr>
        <w:t>The system couples treatment uplift with customer Lifetime Value (LTV) and intervention unit costs C_k to compute net Expected Retention Value: ERV_ik = Delta S_ik(t) * LTV_i - C_k. A knapsack allocation engine solves the budget-constrained portfolio problem, enforcing an automated zero-cost fallback ('No Intervention') whenever ERV is non-positive.</w:t>
      </w:r>
    </w:p>
    <w:p>
      <w:pPr>
        <w:spacing w:before="40" w:after="60" w:line="276" w:lineRule="auto"/>
        <w:jc w:val="both"/>
      </w:pPr>
      <w:r>
        <w:rPr>
          <w:rFonts w:ascii="Times New Roman" w:hAnsi="Times New Roman"/>
          <w:b/>
          <w:color w:val="141E2D"/>
          <w:sz w:val="22"/>
        </w:rPr>
        <w:t xml:space="preserve">Enterprise Governance and Operational Trust: </w:t>
      </w:r>
      <w:r>
        <w:rPr>
          <w:rFonts w:ascii="Times New Roman" w:hAnsi="Times New Roman"/>
          <w:color w:val="1E232D"/>
          <w:sz w:val="22"/>
        </w:rPr>
        <w:t>RetainIQ incorporates an immutable SHA-256 cryptographic audit trail recording all model recommendations and manual human overrides. Continuous monitoring evaluates Population Stability Index (PSI) drift, while automated adversarial suites stress-test pipeline resilience under simulated missingness and feature noise.</w:t>
      </w:r>
    </w:p>
    <w:p>
      <w:pPr>
        <w:spacing w:before="160" w:after="80" w:line="276" w:lineRule="auto"/>
        <w:jc w:val="left"/>
      </w:pPr>
      <w:r>
        <w:rPr>
          <w:rFonts w:ascii="Times New Roman" w:hAnsi="Times New Roman"/>
          <w:b/>
          <w:color w:val="142D55"/>
          <w:sz w:val="26"/>
        </w:rPr>
        <w:t>2.3 REQUIREMENTS ANALYSIS</w:t>
      </w:r>
    </w:p>
    <w:p>
      <w:pPr>
        <w:spacing w:before="0" w:after="80" w:line="276" w:lineRule="auto"/>
        <w:jc w:val="both"/>
      </w:pPr>
      <w:r>
        <w:rPr>
          <w:rFonts w:ascii="Times New Roman" w:hAnsi="Times New Roman"/>
          <w:color w:val="1E232D"/>
          <w:sz w:val="22"/>
        </w:rPr>
        <w:t>The RetainIQ platform was designed under rigorous software engineering and machine learning specifications. The requirements are categorized into six distinct operational dimensions:</w:t>
      </w:r>
    </w:p>
    <w:p>
      <w:pPr>
        <w:spacing w:before="120" w:after="60" w:line="276" w:lineRule="auto"/>
        <w:jc w:val="left"/>
      </w:pPr>
      <w:r>
        <w:rPr>
          <w:rFonts w:ascii="Times New Roman" w:hAnsi="Times New Roman"/>
          <w:b/>
          <w:color w:val="1E375F"/>
          <w:sz w:val="23"/>
        </w:rPr>
        <w:t>A. Functional Requirements</w:t>
      </w:r>
    </w:p>
    <w:p>
      <w:pPr>
        <w:spacing w:before="40" w:after="40" w:line="276" w:lineRule="auto"/>
        <w:jc w:val="both"/>
      </w:pPr>
      <w:r>
        <w:rPr>
          <w:rFonts w:ascii="Times New Roman" w:hAnsi="Times New Roman"/>
          <w:b/>
          <w:color w:val="141E2D"/>
          <w:sz w:val="22"/>
        </w:rPr>
        <w:t xml:space="preserve">FR-1 Data Ingestion &amp; Sanitization: </w:t>
      </w:r>
      <w:r>
        <w:rPr>
          <w:rFonts w:ascii="Times New Roman" w:hAnsi="Times New Roman"/>
          <w:color w:val="1E232D"/>
          <w:sz w:val="22"/>
        </w:rPr>
        <w:t>The system shall ingest raw tabular customer records, identify and coerce whitespace-blank values to floating-point representations, and apply median imputation without inducing data leakage.</w:t>
      </w:r>
    </w:p>
    <w:p>
      <w:pPr>
        <w:spacing w:before="40" w:after="40" w:line="276" w:lineRule="auto"/>
        <w:jc w:val="both"/>
      </w:pPr>
      <w:r>
        <w:rPr>
          <w:rFonts w:ascii="Times New Roman" w:hAnsi="Times New Roman"/>
          <w:b/>
          <w:color w:val="141E2D"/>
          <w:sz w:val="22"/>
        </w:rPr>
        <w:t xml:space="preserve">FR-2 Multi-Horizon Survival Scoring: </w:t>
      </w:r>
      <w:r>
        <w:rPr>
          <w:rFonts w:ascii="Times New Roman" w:hAnsi="Times New Roman"/>
          <w:color w:val="1E232D"/>
          <w:sz w:val="22"/>
        </w:rPr>
        <w:t>The system shall compute predicted survival probabilities S(t) and cumulative hazard H(t) for each customer across standard operational horizons: 30, 60, 90, 180, and 365 days.</w:t>
      </w:r>
    </w:p>
    <w:p>
      <w:pPr>
        <w:spacing w:before="40" w:after="40" w:line="276" w:lineRule="auto"/>
        <w:jc w:val="both"/>
      </w:pPr>
      <w:r>
        <w:rPr>
          <w:rFonts w:ascii="Times New Roman" w:hAnsi="Times New Roman"/>
          <w:b/>
          <w:color w:val="141E2D"/>
          <w:sz w:val="22"/>
        </w:rPr>
        <w:t xml:space="preserve">FR-3 Multi-Treatment CATE Estimation: </w:t>
      </w:r>
      <w:r>
        <w:rPr>
          <w:rFonts w:ascii="Times New Roman" w:hAnsi="Times New Roman"/>
          <w:color w:val="1E232D"/>
          <w:sz w:val="22"/>
        </w:rPr>
        <w:t>The system shall estimate heterogeneous treatment effects for four distinct interventions: Basic Check-in, Proactive Tech Support, 15% Bill Discount, and Long-Term Contract Incentive.</w:t>
      </w:r>
    </w:p>
    <w:p>
      <w:pPr>
        <w:spacing w:before="40" w:after="40" w:line="276" w:lineRule="auto"/>
        <w:jc w:val="both"/>
      </w:pPr>
      <w:r>
        <w:rPr>
          <w:rFonts w:ascii="Times New Roman" w:hAnsi="Times New Roman"/>
          <w:b/>
          <w:color w:val="141E2D"/>
          <w:sz w:val="22"/>
        </w:rPr>
        <w:t xml:space="preserve">FR-4 Prescriptive Treatment Ranking: </w:t>
      </w:r>
      <w:r>
        <w:rPr>
          <w:rFonts w:ascii="Times New Roman" w:hAnsi="Times New Roman"/>
          <w:color w:val="1E232D"/>
          <w:sz w:val="22"/>
        </w:rPr>
        <w:t>The system shall compute ERV for all eligible treatments, rank candidates in descending order, and select the optimal treatment while enforcing the fallback rule: assign 'No Intervention' if ERV &lt;= 0.</w:t>
      </w:r>
    </w:p>
    <w:p>
      <w:pPr>
        <w:spacing w:before="40" w:after="40" w:line="276" w:lineRule="auto"/>
        <w:jc w:val="both"/>
      </w:pPr>
      <w:r>
        <w:rPr>
          <w:rFonts w:ascii="Times New Roman" w:hAnsi="Times New Roman"/>
          <w:b/>
          <w:color w:val="141E2D"/>
          <w:sz w:val="22"/>
        </w:rPr>
        <w:t xml:space="preserve">FR-5 Cryptographic Audit Trail: </w:t>
      </w:r>
      <w:r>
        <w:rPr>
          <w:rFonts w:ascii="Times New Roman" w:hAnsi="Times New Roman"/>
          <w:color w:val="1E232D"/>
          <w:sz w:val="22"/>
        </w:rPr>
        <w:t>The system shall append every scoring, prescription, and analyst override event to an immutable SHA-256 cryptographic hash chain, enabling zero-knowledge tamper verification.</w:t>
      </w:r>
    </w:p>
    <w:p>
      <w:pPr>
        <w:spacing w:before="120" w:after="60" w:line="276" w:lineRule="auto"/>
        <w:jc w:val="left"/>
      </w:pPr>
      <w:r>
        <w:rPr>
          <w:rFonts w:ascii="Times New Roman" w:hAnsi="Times New Roman"/>
          <w:b/>
          <w:color w:val="1E375F"/>
          <w:sz w:val="23"/>
        </w:rPr>
        <w:t>B. Non-Functional Requirements</w:t>
      </w:r>
    </w:p>
    <w:p>
      <w:pPr>
        <w:spacing w:before="40" w:after="40" w:line="276" w:lineRule="auto"/>
        <w:jc w:val="both"/>
      </w:pPr>
      <w:r>
        <w:rPr>
          <w:rFonts w:ascii="Times New Roman" w:hAnsi="Times New Roman"/>
          <w:b/>
          <w:color w:val="141E2D"/>
          <w:sz w:val="22"/>
        </w:rPr>
        <w:t xml:space="preserve">NFR-1 Latency &amp; Throughput: </w:t>
      </w:r>
      <w:r>
        <w:rPr>
          <w:rFonts w:ascii="Times New Roman" w:hAnsi="Times New Roman"/>
          <w:color w:val="1E232D"/>
          <w:sz w:val="22"/>
        </w:rPr>
        <w:t>Single-customer inference endpoints shall return complete survival curves, treatment rankings, and ERV computations with an average response latency of less than 50 milliseconds (demonstrating &lt;15ms in production).</w:t>
      </w:r>
    </w:p>
    <w:p>
      <w:pPr>
        <w:spacing w:before="40" w:after="40" w:line="276" w:lineRule="auto"/>
        <w:jc w:val="both"/>
      </w:pPr>
      <w:r>
        <w:rPr>
          <w:rFonts w:ascii="Times New Roman" w:hAnsi="Times New Roman"/>
          <w:b/>
          <w:color w:val="141E2D"/>
          <w:sz w:val="22"/>
        </w:rPr>
        <w:t xml:space="preserve">NFR-2 Memory &amp; Compute Footprint: </w:t>
      </w:r>
      <w:r>
        <w:rPr>
          <w:rFonts w:ascii="Times New Roman" w:hAnsi="Times New Roman"/>
          <w:color w:val="1E232D"/>
          <w:sz w:val="22"/>
        </w:rPr>
        <w:t>The entire production serving environment, including loaded models and feature pipelines, shall consume less than 2.0 GB of system RAM, enabling deployment on cost-effective commodity compute instances.</w:t>
      </w:r>
    </w:p>
    <w:p>
      <w:pPr>
        <w:spacing w:before="40" w:after="40" w:line="276" w:lineRule="auto"/>
        <w:jc w:val="both"/>
      </w:pPr>
      <w:r>
        <w:rPr>
          <w:rFonts w:ascii="Times New Roman" w:hAnsi="Times New Roman"/>
          <w:b/>
          <w:color w:val="141E2D"/>
          <w:sz w:val="22"/>
        </w:rPr>
        <w:t xml:space="preserve">NFR-3 Deterministic Reproducibility: </w:t>
      </w:r>
      <w:r>
        <w:rPr>
          <w:rFonts w:ascii="Times New Roman" w:hAnsi="Times New Roman"/>
          <w:color w:val="1E232D"/>
          <w:sz w:val="22"/>
        </w:rPr>
        <w:t>All pipeline preprocessing splits, model training seeds, and simulation runs shall be strictly deterministic, yielding identical results across repeated executions.</w:t>
      </w:r>
    </w:p>
    <w:p>
      <w:pPr>
        <w:spacing w:before="40" w:after="40" w:line="276" w:lineRule="auto"/>
        <w:jc w:val="both"/>
      </w:pPr>
      <w:r>
        <w:rPr>
          <w:rFonts w:ascii="Times New Roman" w:hAnsi="Times New Roman"/>
          <w:b/>
          <w:color w:val="141E2D"/>
          <w:sz w:val="22"/>
        </w:rPr>
        <w:t xml:space="preserve">NFR-4 Scalability: </w:t>
      </w:r>
      <w:r>
        <w:rPr>
          <w:rFonts w:ascii="Times New Roman" w:hAnsi="Times New Roman"/>
          <w:color w:val="1E232D"/>
          <w:sz w:val="22"/>
        </w:rPr>
        <w:t>The batch scoring engine shall process a portfolio of 10,000 customer accounts within 5 seconds on standard hardware.</w:t>
      </w:r>
    </w:p>
    <w:p>
      <w:pPr>
        <w:spacing w:before="120" w:after="60" w:line="276" w:lineRule="auto"/>
        <w:jc w:val="left"/>
      </w:pPr>
      <w:r>
        <w:rPr>
          <w:rFonts w:ascii="Times New Roman" w:hAnsi="Times New Roman"/>
          <w:b/>
          <w:color w:val="1E375F"/>
          <w:sz w:val="23"/>
        </w:rPr>
        <w:t>C. Machine Learning Requirements</w:t>
      </w:r>
    </w:p>
    <w:p>
      <w:pPr>
        <w:spacing w:before="40" w:after="40" w:line="276" w:lineRule="auto"/>
        <w:jc w:val="both"/>
      </w:pPr>
      <w:r>
        <w:rPr>
          <w:rFonts w:ascii="Times New Roman" w:hAnsi="Times New Roman"/>
          <w:b/>
          <w:color w:val="141E2D"/>
          <w:sz w:val="22"/>
        </w:rPr>
        <w:t xml:space="preserve">MLR-1 Discriminatory Accuracy: </w:t>
      </w:r>
      <w:r>
        <w:rPr>
          <w:rFonts w:ascii="Times New Roman" w:hAnsi="Times New Roman"/>
          <w:color w:val="1E232D"/>
          <w:sz w:val="22"/>
        </w:rPr>
        <w:t>The primary survival models (Weibull AFT, Cox PH, and RSF) shall achieve a test Harrell's Concordance Index (C-Index) exceeding 0.85, significantly outperforming naive classification baselines.</w:t>
      </w:r>
    </w:p>
    <w:p>
      <w:pPr>
        <w:spacing w:before="40" w:after="40" w:line="276" w:lineRule="auto"/>
        <w:jc w:val="both"/>
      </w:pPr>
      <w:r>
        <w:rPr>
          <w:rFonts w:ascii="Times New Roman" w:hAnsi="Times New Roman"/>
          <w:b/>
          <w:color w:val="141E2D"/>
          <w:sz w:val="22"/>
        </w:rPr>
        <w:t xml:space="preserve">MLR-2 Probabilistic Calibration: </w:t>
      </w:r>
      <w:r>
        <w:rPr>
          <w:rFonts w:ascii="Times New Roman" w:hAnsi="Times New Roman"/>
          <w:color w:val="1E232D"/>
          <w:sz w:val="22"/>
        </w:rPr>
        <w:t>The survival models shall achieve an Integrated Brier Score (IBS) below 0.10 at the 90-day operational decision horizon, ensuring reliable risk estimates across deciles.</w:t>
      </w:r>
    </w:p>
    <w:p>
      <w:pPr>
        <w:spacing w:before="40" w:after="40" w:line="276" w:lineRule="auto"/>
        <w:jc w:val="both"/>
      </w:pPr>
      <w:r>
        <w:rPr>
          <w:rFonts w:ascii="Times New Roman" w:hAnsi="Times New Roman"/>
          <w:b/>
          <w:color w:val="141E2D"/>
          <w:sz w:val="22"/>
        </w:rPr>
        <w:t xml:space="preserve">MLR-3 Monotonicity Guarantee: </w:t>
      </w:r>
      <w:r>
        <w:rPr>
          <w:rFonts w:ascii="Times New Roman" w:hAnsi="Times New Roman"/>
          <w:color w:val="1E232D"/>
          <w:sz w:val="22"/>
        </w:rPr>
        <w:t>Predicted survival probability curves must satisfy the strict mathematical axiom of non-increasing monotonicity: S(t_2) &lt;= S(t_1) for all t_2 &gt; t_1.</w:t>
      </w:r>
    </w:p>
    <w:p>
      <w:pPr>
        <w:spacing w:before="40" w:after="40" w:line="276" w:lineRule="auto"/>
        <w:jc w:val="both"/>
      </w:pPr>
      <w:r>
        <w:rPr>
          <w:rFonts w:ascii="Times New Roman" w:hAnsi="Times New Roman"/>
          <w:b/>
          <w:color w:val="141E2D"/>
          <w:sz w:val="22"/>
        </w:rPr>
        <w:t xml:space="preserve">MLR-4 Uplift Superiority: </w:t>
      </w:r>
      <w:r>
        <w:rPr>
          <w:rFonts w:ascii="Times New Roman" w:hAnsi="Times New Roman"/>
          <w:color w:val="1E232D"/>
          <w:sz w:val="22"/>
        </w:rPr>
        <w:t>The causal Meta-Learner architecture shall achieve a positive mean Qini score (&gt;0.40), confirming statistically significant counterfactual ranking power over random targeting.</w:t>
      </w:r>
    </w:p>
    <w:p>
      <w:pPr>
        <w:spacing w:before="120" w:after="60" w:line="276" w:lineRule="auto"/>
        <w:jc w:val="left"/>
      </w:pPr>
      <w:r>
        <w:rPr>
          <w:rFonts w:ascii="Times New Roman" w:hAnsi="Times New Roman"/>
          <w:b/>
          <w:color w:val="1E375F"/>
          <w:sz w:val="23"/>
        </w:rPr>
        <w:t>D. Dashboard Requirements</w:t>
      </w:r>
    </w:p>
    <w:p>
      <w:pPr>
        <w:spacing w:before="40" w:after="40" w:line="276" w:lineRule="auto"/>
        <w:jc w:val="both"/>
      </w:pPr>
      <w:r>
        <w:rPr>
          <w:rFonts w:ascii="Times New Roman" w:hAnsi="Times New Roman"/>
          <w:b/>
          <w:color w:val="141E2D"/>
          <w:sz w:val="22"/>
        </w:rPr>
        <w:t xml:space="preserve">DR-1 Multi-Page Modular Console: </w:t>
      </w:r>
      <w:r>
        <w:rPr>
          <w:rFonts w:ascii="Times New Roman" w:hAnsi="Times New Roman"/>
          <w:color w:val="1E232D"/>
          <w:sz w:val="22"/>
        </w:rPr>
        <w:t>The UI shall provide 11 dedicated operational pages covering Executive Overview, Data Quality, Cohort Survival, Model Lab, Customer 360, Treatment Studio, Campaign Planner, Explainability, Robustness, Governance, and Documentation.</w:t>
      </w:r>
    </w:p>
    <w:p>
      <w:pPr>
        <w:spacing w:before="40" w:after="40" w:line="276" w:lineRule="auto"/>
        <w:jc w:val="both"/>
      </w:pPr>
      <w:r>
        <w:rPr>
          <w:rFonts w:ascii="Times New Roman" w:hAnsi="Times New Roman"/>
          <w:b/>
          <w:color w:val="141E2D"/>
          <w:sz w:val="22"/>
        </w:rPr>
        <w:t xml:space="preserve">DR-2 Interactive Counterfactual Simulator: </w:t>
      </w:r>
      <w:r>
        <w:rPr>
          <w:rFonts w:ascii="Times New Roman" w:hAnsi="Times New Roman"/>
          <w:color w:val="1E232D"/>
          <w:sz w:val="22"/>
        </w:rPr>
        <w:t>Users shall be able to dynamically adjust individual customer attributes and treatment parameters via sliders and inspect immediate recalculations of S(t), hazard percentiles, and ERV in real time.</w:t>
      </w:r>
    </w:p>
    <w:p>
      <w:pPr>
        <w:spacing w:before="40" w:after="40" w:line="276" w:lineRule="auto"/>
        <w:jc w:val="both"/>
      </w:pPr>
      <w:r>
        <w:rPr>
          <w:rFonts w:ascii="Times New Roman" w:hAnsi="Times New Roman"/>
          <w:b/>
          <w:color w:val="141E2D"/>
          <w:sz w:val="22"/>
        </w:rPr>
        <w:t xml:space="preserve">DR-3 Campaign Budget Optimizer: </w:t>
      </w:r>
      <w:r>
        <w:rPr>
          <w:rFonts w:ascii="Times New Roman" w:hAnsi="Times New Roman"/>
          <w:color w:val="1E232D"/>
          <w:sz w:val="22"/>
        </w:rPr>
        <w:t>The campaign planner shall allow marketing directors to specify aggregate budget caps and instantly visualize optimal treatment allocation, customer coverage, and net campaign ROI curves.</w:t>
      </w:r>
    </w:p>
    <w:p>
      <w:pPr>
        <w:spacing w:before="120" w:after="60" w:line="276" w:lineRule="auto"/>
        <w:jc w:val="left"/>
      </w:pPr>
      <w:r>
        <w:rPr>
          <w:rFonts w:ascii="Times New Roman" w:hAnsi="Times New Roman"/>
          <w:b/>
          <w:color w:val="1E375F"/>
          <w:sz w:val="23"/>
        </w:rPr>
        <w:t>E. API Requirements</w:t>
      </w:r>
    </w:p>
    <w:p>
      <w:pPr>
        <w:spacing w:before="40" w:after="40" w:line="276" w:lineRule="auto"/>
        <w:jc w:val="both"/>
      </w:pPr>
      <w:r>
        <w:rPr>
          <w:rFonts w:ascii="Times New Roman" w:hAnsi="Times New Roman"/>
          <w:b/>
          <w:color w:val="141E2D"/>
          <w:sz w:val="22"/>
        </w:rPr>
        <w:t xml:space="preserve">AR-1 RESTful Interface: </w:t>
      </w:r>
      <w:r>
        <w:rPr>
          <w:rFonts w:ascii="Times New Roman" w:hAnsi="Times New Roman"/>
          <w:color w:val="1E232D"/>
          <w:sz w:val="22"/>
        </w:rPr>
        <w:t>The backend shall expose standards-compliant REST endpoints supporting GET and POST operations with JSON request/response payloads conforming to OpenAPI 3.0 specifications.</w:t>
      </w:r>
    </w:p>
    <w:p>
      <w:pPr>
        <w:spacing w:before="40" w:after="40" w:line="276" w:lineRule="auto"/>
        <w:jc w:val="both"/>
      </w:pPr>
      <w:r>
        <w:rPr>
          <w:rFonts w:ascii="Times New Roman" w:hAnsi="Times New Roman"/>
          <w:b/>
          <w:color w:val="141E2D"/>
          <w:sz w:val="22"/>
        </w:rPr>
        <w:t xml:space="preserve">AR-2 Pydantic Schema Validation: </w:t>
      </w:r>
      <w:r>
        <w:rPr>
          <w:rFonts w:ascii="Times New Roman" w:hAnsi="Times New Roman"/>
          <w:color w:val="1E232D"/>
          <w:sz w:val="22"/>
        </w:rPr>
        <w:t>All incoming API requests shall be validated through strict Pydantic schemas, returning HTTP 422 Unprocessable Entity errors with descriptive field messages upon boundary violations.</w:t>
      </w:r>
    </w:p>
    <w:p>
      <w:pPr>
        <w:spacing w:before="40" w:after="40" w:line="276" w:lineRule="auto"/>
        <w:jc w:val="both"/>
      </w:pPr>
      <w:r>
        <w:rPr>
          <w:rFonts w:ascii="Times New Roman" w:hAnsi="Times New Roman"/>
          <w:b/>
          <w:color w:val="141E2D"/>
          <w:sz w:val="22"/>
        </w:rPr>
        <w:t xml:space="preserve">AR-3 Enterprise Health Probes: </w:t>
      </w:r>
      <w:r>
        <w:rPr>
          <w:rFonts w:ascii="Times New Roman" w:hAnsi="Times New Roman"/>
          <w:color w:val="1E232D"/>
          <w:sz w:val="22"/>
        </w:rPr>
        <w:t>The API shall expose dedicated /health, /model-info, and /metrics endpoints to support Kubernetes liveness/readiness probes and Prometheus telemetry scraping.</w:t>
      </w:r>
    </w:p>
    <w:p>
      <w:pPr>
        <w:spacing w:before="120" w:after="60" w:line="276" w:lineRule="auto"/>
        <w:jc w:val="left"/>
      </w:pPr>
      <w:r>
        <w:rPr>
          <w:rFonts w:ascii="Times New Roman" w:hAnsi="Times New Roman"/>
          <w:b/>
          <w:color w:val="1E375F"/>
          <w:sz w:val="23"/>
        </w:rPr>
        <w:t>F. Monitoring and Governance Requirements</w:t>
      </w:r>
    </w:p>
    <w:p>
      <w:pPr>
        <w:spacing w:before="40" w:after="40" w:line="276" w:lineRule="auto"/>
        <w:jc w:val="both"/>
      </w:pPr>
      <w:r>
        <w:rPr>
          <w:rFonts w:ascii="Times New Roman" w:hAnsi="Times New Roman"/>
          <w:b/>
          <w:color w:val="141E2D"/>
          <w:sz w:val="22"/>
        </w:rPr>
        <w:t xml:space="preserve">GR-1 Drift Detection: </w:t>
      </w:r>
      <w:r>
        <w:rPr>
          <w:rFonts w:ascii="Times New Roman" w:hAnsi="Times New Roman"/>
          <w:color w:val="1E232D"/>
          <w:sz w:val="22"/>
        </w:rPr>
        <w:t>The system shall continuously compute Population Stability Index (PSI) metrics across all input features, flagging warnings when PSI exceeds 0.10 and triggering alerts when PSI exceeds 0.25.</w:t>
      </w:r>
    </w:p>
    <w:p>
      <w:pPr>
        <w:spacing w:before="40" w:after="40" w:line="276" w:lineRule="auto"/>
        <w:jc w:val="both"/>
      </w:pPr>
      <w:r>
        <w:rPr>
          <w:rFonts w:ascii="Times New Roman" w:hAnsi="Times New Roman"/>
          <w:b/>
          <w:color w:val="141E2D"/>
          <w:sz w:val="22"/>
        </w:rPr>
        <w:t xml:space="preserve">GR-2 Stress Testing &amp; Robustness: </w:t>
      </w:r>
      <w:r>
        <w:rPr>
          <w:rFonts w:ascii="Times New Roman" w:hAnsi="Times New Roman"/>
          <w:color w:val="1E232D"/>
          <w:sz w:val="22"/>
        </w:rPr>
        <w:t>The pipeline shall include automated adversarial test suites measuring performance degradation under simulated missingness (up to 30%) and additive Gaussian feature noise, establishing resilience boundaries.</w:t>
      </w:r>
    </w:p>
    <w:p>
      <w:pPr>
        <w:spacing w:before="40" w:after="40" w:line="276" w:lineRule="auto"/>
        <w:jc w:val="both"/>
      </w:pPr>
      <w:r>
        <w:rPr>
          <w:rFonts w:ascii="Times New Roman" w:hAnsi="Times New Roman"/>
          <w:b/>
          <w:color w:val="141E2D"/>
          <w:sz w:val="22"/>
        </w:rPr>
        <w:t xml:space="preserve">GR-3 Tamper Verification: </w:t>
      </w:r>
      <w:r>
        <w:rPr>
          <w:rFonts w:ascii="Times New Roman" w:hAnsi="Times New Roman"/>
          <w:color w:val="1E232D"/>
          <w:sz w:val="22"/>
        </w:rPr>
        <w:t>The audit system shall provide an automated endpoint verifying the cryptographic continuity of the SHA-256 chain, immediately detecting any unauthorized manual database alterations.</w:t>
      </w:r>
    </w:p>
    <w:p>
      <w:pPr>
        <w:spacing w:before="160" w:after="80" w:line="276" w:lineRule="auto"/>
        <w:jc w:val="left"/>
      </w:pPr>
      <w:r>
        <w:rPr>
          <w:rFonts w:ascii="Times New Roman" w:hAnsi="Times New Roman"/>
          <w:b/>
          <w:color w:val="142D55"/>
          <w:sz w:val="26"/>
        </w:rPr>
        <w:t>2.4 HARDWARE REQUIREMENTS</w:t>
      </w:r>
    </w:p>
    <w:p>
      <w:pPr>
        <w:spacing w:before="0" w:after="80" w:line="276" w:lineRule="auto"/>
        <w:jc w:val="both"/>
      </w:pPr>
      <w:r>
        <w:rPr>
          <w:rFonts w:ascii="Times New Roman" w:hAnsi="Times New Roman"/>
          <w:color w:val="1E232D"/>
          <w:sz w:val="22"/>
        </w:rPr>
        <w:t>RetainIQ is architected for maximum computational efficiency, allowing complete end-to-end training, statistical cross-validation, and real-time inference on commodity enterprise hardware without requiring expensive GPU accelerators. Table 2.1 delineates the minimum and recommended hardware specifications: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2592"/>
            <w:shd w:fill="152035"/>
            <w:tcMar>
              <w:top w:w="60" w:type="dxa"/>
              <w:bottom w:w="60" w:type="dxa"/>
              <w:left w:w="80" w:type="dxa"/>
              <w:right w:w="80" w:type="dxa"/>
            </w:tcMar>
          </w:tcPr>
          <w:p>
            <w:pPr>
              <w:jc w:val="left"/>
            </w:pPr>
            <w:r>
              <w:rPr>
                <w:rFonts w:ascii="Times New Roman" w:hAnsi="Times New Roman"/>
                <w:b/>
                <w:color w:val="FFFFFF"/>
                <w:sz w:val="19"/>
              </w:rPr>
              <w:t>COMPONENT</w:t>
            </w:r>
          </w:p>
        </w:tc>
        <w:tc>
          <w:tcPr>
            <w:tcW w:type="dxa" w:w="3312"/>
            <w:shd w:fill="152035"/>
            <w:tcMar>
              <w:top w:w="60" w:type="dxa"/>
              <w:bottom w:w="60" w:type="dxa"/>
              <w:left w:w="80" w:type="dxa"/>
              <w:right w:w="80" w:type="dxa"/>
            </w:tcMar>
          </w:tcPr>
          <w:p>
            <w:pPr>
              <w:jc w:val="left"/>
            </w:pPr>
            <w:r>
              <w:rPr>
                <w:rFonts w:ascii="Times New Roman" w:hAnsi="Times New Roman"/>
                <w:b/>
                <w:color w:val="FFFFFF"/>
                <w:sz w:val="19"/>
              </w:rPr>
              <w:t>MINIMUM SPECIFICATION</w:t>
            </w:r>
          </w:p>
        </w:tc>
        <w:tc>
          <w:tcPr>
            <w:tcW w:type="dxa" w:w="3456"/>
            <w:shd w:fill="152035"/>
            <w:tcMar>
              <w:top w:w="60" w:type="dxa"/>
              <w:bottom w:w="60" w:type="dxa"/>
              <w:left w:w="80" w:type="dxa"/>
              <w:right w:w="80" w:type="dxa"/>
            </w:tcMar>
          </w:tcPr>
          <w:p>
            <w:pPr>
              <w:jc w:val="left"/>
            </w:pPr>
            <w:r>
              <w:rPr>
                <w:rFonts w:ascii="Times New Roman" w:hAnsi="Times New Roman"/>
                <w:b/>
                <w:color w:val="FFFFFF"/>
                <w:sz w:val="19"/>
              </w:rPr>
              <w:t>PRODUCTION RECOMMENDED</w:t>
            </w:r>
          </w:p>
        </w:tc>
      </w:tr>
      <w:tr>
        <w:tc>
          <w:tcPr>
            <w:tcW w:type="dxa" w:w="2592"/>
            <w:tcMar>
              <w:top w:w="45" w:type="dxa"/>
              <w:bottom w:w="45" w:type="dxa"/>
              <w:left w:w="80" w:type="dxa"/>
              <w:right w:w="80" w:type="dxa"/>
            </w:tcMar>
          </w:tcPr>
          <w:p>
            <w:pPr>
              <w:jc w:val="left"/>
            </w:pPr>
            <w:r>
              <w:rPr>
                <w:rFonts w:ascii="Times New Roman" w:hAnsi="Times New Roman"/>
                <w:b/>
                <w:sz w:val="18"/>
              </w:rPr>
              <w:t>Central Processing Unit (CPU)</w:t>
            </w:r>
          </w:p>
        </w:tc>
        <w:tc>
          <w:tcPr>
            <w:tcW w:type="dxa" w:w="3312"/>
            <w:tcMar>
              <w:top w:w="45" w:type="dxa"/>
              <w:bottom w:w="45" w:type="dxa"/>
              <w:left w:w="80" w:type="dxa"/>
              <w:right w:w="80" w:type="dxa"/>
            </w:tcMar>
          </w:tcPr>
          <w:p>
            <w:pPr>
              <w:jc w:val="left"/>
            </w:pPr>
            <w:r>
              <w:rPr>
                <w:rFonts w:ascii="Times New Roman" w:hAnsi="Times New Roman"/>
                <w:sz w:val="18"/>
              </w:rPr>
              <w:t>Quad-core x86_64 Processor (2.0 GHz)</w:t>
            </w:r>
          </w:p>
        </w:tc>
        <w:tc>
          <w:tcPr>
            <w:tcW w:type="dxa" w:w="3456"/>
            <w:tcMar>
              <w:top w:w="45" w:type="dxa"/>
              <w:bottom w:w="45" w:type="dxa"/>
              <w:left w:w="80" w:type="dxa"/>
              <w:right w:w="80" w:type="dxa"/>
            </w:tcMar>
          </w:tcPr>
          <w:p>
            <w:pPr>
              <w:jc w:val="left"/>
            </w:pPr>
            <w:r>
              <w:rPr>
                <w:rFonts w:ascii="Times New Roman" w:hAnsi="Times New Roman"/>
                <w:sz w:val="18"/>
              </w:rPr>
              <w:t>8-core Intel Core i7 / AMD Ryzen 7 / Xeon</w:t>
            </w:r>
          </w:p>
        </w:tc>
      </w:tr>
      <w:tr>
        <w:tc>
          <w:tcPr>
            <w:tcW w:type="dxa" w:w="2592"/>
            <w:tcMar>
              <w:top w:w="45" w:type="dxa"/>
              <w:bottom w:w="45" w:type="dxa"/>
              <w:left w:w="80" w:type="dxa"/>
              <w:right w:w="80" w:type="dxa"/>
            </w:tcMar>
          </w:tcPr>
          <w:p>
            <w:pPr>
              <w:jc w:val="left"/>
            </w:pPr>
            <w:r>
              <w:rPr>
                <w:rFonts w:ascii="Times New Roman" w:hAnsi="Times New Roman"/>
                <w:b/>
                <w:sz w:val="18"/>
              </w:rPr>
              <w:t>System Memory (RAM)</w:t>
            </w:r>
          </w:p>
        </w:tc>
        <w:tc>
          <w:tcPr>
            <w:tcW w:type="dxa" w:w="3312"/>
            <w:tcMar>
              <w:top w:w="45" w:type="dxa"/>
              <w:bottom w:w="45" w:type="dxa"/>
              <w:left w:w="80" w:type="dxa"/>
              <w:right w:w="80" w:type="dxa"/>
            </w:tcMar>
          </w:tcPr>
          <w:p>
            <w:pPr>
              <w:jc w:val="left"/>
            </w:pPr>
            <w:r>
              <w:rPr>
                <w:rFonts w:ascii="Times New Roman" w:hAnsi="Times New Roman"/>
                <w:sz w:val="18"/>
              </w:rPr>
              <w:t>8.0 GB DDR4 SDRAM</w:t>
            </w:r>
          </w:p>
        </w:tc>
        <w:tc>
          <w:tcPr>
            <w:tcW w:type="dxa" w:w="3456"/>
            <w:tcMar>
              <w:top w:w="45" w:type="dxa"/>
              <w:bottom w:w="45" w:type="dxa"/>
              <w:left w:w="80" w:type="dxa"/>
              <w:right w:w="80" w:type="dxa"/>
            </w:tcMar>
          </w:tcPr>
          <w:p>
            <w:pPr>
              <w:jc w:val="left"/>
            </w:pPr>
            <w:r>
              <w:rPr>
                <w:rFonts w:ascii="Times New Roman" w:hAnsi="Times New Roman"/>
                <w:sz w:val="18"/>
              </w:rPr>
              <w:t>16.0 GB DDR4 / DDR5 Dual-Channel</w:t>
            </w:r>
          </w:p>
        </w:tc>
      </w:tr>
      <w:tr>
        <w:tc>
          <w:tcPr>
            <w:tcW w:type="dxa" w:w="2592"/>
            <w:tcMar>
              <w:top w:w="45" w:type="dxa"/>
              <w:bottom w:w="45" w:type="dxa"/>
              <w:left w:w="80" w:type="dxa"/>
              <w:right w:w="80" w:type="dxa"/>
            </w:tcMar>
          </w:tcPr>
          <w:p>
            <w:pPr>
              <w:jc w:val="left"/>
            </w:pPr>
            <w:r>
              <w:rPr>
                <w:rFonts w:ascii="Times New Roman" w:hAnsi="Times New Roman"/>
                <w:b/>
                <w:sz w:val="18"/>
              </w:rPr>
              <w:t>Disk Storage</w:t>
            </w:r>
          </w:p>
        </w:tc>
        <w:tc>
          <w:tcPr>
            <w:tcW w:type="dxa" w:w="3312"/>
            <w:tcMar>
              <w:top w:w="45" w:type="dxa"/>
              <w:bottom w:w="45" w:type="dxa"/>
              <w:left w:w="80" w:type="dxa"/>
              <w:right w:w="80" w:type="dxa"/>
            </w:tcMar>
          </w:tcPr>
          <w:p>
            <w:pPr>
              <w:jc w:val="left"/>
            </w:pPr>
            <w:r>
              <w:rPr>
                <w:rFonts w:ascii="Times New Roman" w:hAnsi="Times New Roman"/>
                <w:sz w:val="18"/>
              </w:rPr>
              <w:t>20 GB Available SSD Storage</w:t>
            </w:r>
          </w:p>
        </w:tc>
        <w:tc>
          <w:tcPr>
            <w:tcW w:type="dxa" w:w="3456"/>
            <w:tcMar>
              <w:top w:w="45" w:type="dxa"/>
              <w:bottom w:w="45" w:type="dxa"/>
              <w:left w:w="80" w:type="dxa"/>
              <w:right w:w="80" w:type="dxa"/>
            </w:tcMar>
          </w:tcPr>
          <w:p>
            <w:pPr>
              <w:jc w:val="left"/>
            </w:pPr>
            <w:r>
              <w:rPr>
                <w:rFonts w:ascii="Times New Roman" w:hAnsi="Times New Roman"/>
                <w:sz w:val="18"/>
              </w:rPr>
              <w:t>50 GB NVMe PCIe SSD (Fast I/O)</w:t>
            </w:r>
          </w:p>
        </w:tc>
      </w:tr>
      <w:tr>
        <w:tc>
          <w:tcPr>
            <w:tcW w:type="dxa" w:w="2592"/>
            <w:tcMar>
              <w:top w:w="45" w:type="dxa"/>
              <w:bottom w:w="45" w:type="dxa"/>
              <w:left w:w="80" w:type="dxa"/>
              <w:right w:w="80" w:type="dxa"/>
            </w:tcMar>
          </w:tcPr>
          <w:p>
            <w:pPr>
              <w:jc w:val="left"/>
            </w:pPr>
            <w:r>
              <w:rPr>
                <w:rFonts w:ascii="Times New Roman" w:hAnsi="Times New Roman"/>
                <w:b/>
                <w:sz w:val="18"/>
              </w:rPr>
              <w:t>Network Interface</w:t>
            </w:r>
          </w:p>
        </w:tc>
        <w:tc>
          <w:tcPr>
            <w:tcW w:type="dxa" w:w="3312"/>
            <w:tcMar>
              <w:top w:w="45" w:type="dxa"/>
              <w:bottom w:w="45" w:type="dxa"/>
              <w:left w:w="80" w:type="dxa"/>
              <w:right w:w="80" w:type="dxa"/>
            </w:tcMar>
          </w:tcPr>
          <w:p>
            <w:pPr>
              <w:jc w:val="left"/>
            </w:pPr>
            <w:r>
              <w:rPr>
                <w:rFonts w:ascii="Times New Roman" w:hAnsi="Times New Roman"/>
                <w:sz w:val="18"/>
              </w:rPr>
              <w:t>100 Mbps Ethernet / Wi-Fi</w:t>
            </w:r>
          </w:p>
        </w:tc>
        <w:tc>
          <w:tcPr>
            <w:tcW w:type="dxa" w:w="3456"/>
            <w:tcMar>
              <w:top w:w="45" w:type="dxa"/>
              <w:bottom w:w="45" w:type="dxa"/>
              <w:left w:w="80" w:type="dxa"/>
              <w:right w:w="80" w:type="dxa"/>
            </w:tcMar>
          </w:tcPr>
          <w:p>
            <w:pPr>
              <w:jc w:val="left"/>
            </w:pPr>
            <w:r>
              <w:rPr>
                <w:rFonts w:ascii="Times New Roman" w:hAnsi="Times New Roman"/>
                <w:sz w:val="18"/>
              </w:rPr>
              <w:t>1.0 Gbps Enterprise Low-Latency NIC</w:t>
            </w:r>
          </w:p>
        </w:tc>
      </w:tr>
      <w:tr>
        <w:tc>
          <w:tcPr>
            <w:tcW w:type="dxa" w:w="2592"/>
            <w:tcMar>
              <w:top w:w="45" w:type="dxa"/>
              <w:bottom w:w="45" w:type="dxa"/>
              <w:left w:w="80" w:type="dxa"/>
              <w:right w:w="80" w:type="dxa"/>
            </w:tcMar>
          </w:tcPr>
          <w:p>
            <w:pPr>
              <w:jc w:val="left"/>
            </w:pPr>
            <w:r>
              <w:rPr>
                <w:rFonts w:ascii="Times New Roman" w:hAnsi="Times New Roman"/>
                <w:b/>
                <w:sz w:val="18"/>
              </w:rPr>
              <w:t>Graphics Processing (GPU)</w:t>
            </w:r>
          </w:p>
        </w:tc>
        <w:tc>
          <w:tcPr>
            <w:tcW w:type="dxa" w:w="3312"/>
            <w:tcMar>
              <w:top w:w="45" w:type="dxa"/>
              <w:bottom w:w="45" w:type="dxa"/>
              <w:left w:w="80" w:type="dxa"/>
              <w:right w:w="80" w:type="dxa"/>
            </w:tcMar>
          </w:tcPr>
          <w:p>
            <w:pPr>
              <w:jc w:val="left"/>
            </w:pPr>
            <w:r>
              <w:rPr>
                <w:rFonts w:ascii="Times New Roman" w:hAnsi="Times New Roman"/>
                <w:sz w:val="18"/>
              </w:rPr>
              <w:t>Not Required (CPU Optimized)</w:t>
            </w:r>
          </w:p>
        </w:tc>
        <w:tc>
          <w:tcPr>
            <w:tcW w:type="dxa" w:w="3456"/>
            <w:tcMar>
              <w:top w:w="45" w:type="dxa"/>
              <w:bottom w:w="45" w:type="dxa"/>
              <w:left w:w="80" w:type="dxa"/>
              <w:right w:w="80" w:type="dxa"/>
            </w:tcMar>
          </w:tcPr>
          <w:p>
            <w:pPr>
              <w:jc w:val="left"/>
            </w:pPr>
            <w:r>
              <w:rPr>
                <w:rFonts w:ascii="Times New Roman" w:hAnsi="Times New Roman"/>
                <w:sz w:val="18"/>
              </w:rPr>
              <w:t>Not Required (Optional for DeepSurv)</w:t>
            </w:r>
          </w:p>
        </w:tc>
      </w:tr>
    </w:tbl>
    <w:p>
      <w:pPr>
        <w:spacing w:before="80" w:after="200" w:line="276" w:lineRule="auto"/>
        <w:jc w:val="center"/>
      </w:pPr>
      <w:r>
        <w:rPr>
          <w:rFonts w:ascii="Times New Roman" w:hAnsi="Times New Roman"/>
          <w:b/>
          <w:i/>
          <w:sz w:val="18"/>
        </w:rPr>
        <w:t>Table 2.1: RetainIQ Hardware Environment Specifications</w:t>
      </w:r>
    </w:p>
    <w:p>
      <w:pPr>
        <w:spacing w:before="160" w:after="80" w:line="276" w:lineRule="auto"/>
        <w:jc w:val="left"/>
      </w:pPr>
      <w:r>
        <w:rPr>
          <w:rFonts w:ascii="Times New Roman" w:hAnsi="Times New Roman"/>
          <w:b/>
          <w:color w:val="142D55"/>
          <w:sz w:val="26"/>
        </w:rPr>
        <w:t>2.5 SOFTWARE REQUIREMENTS</w:t>
      </w:r>
    </w:p>
    <w:p>
      <w:pPr>
        <w:spacing w:before="0" w:after="80" w:line="276" w:lineRule="auto"/>
        <w:jc w:val="both"/>
      </w:pPr>
      <w:r>
        <w:rPr>
          <w:rFonts w:ascii="Times New Roman" w:hAnsi="Times New Roman"/>
          <w:color w:val="1E232D"/>
          <w:sz w:val="22"/>
        </w:rPr>
        <w:t>The software architecture of RetainIQ leverages modern, industry-standard open-source libraries within the Python data science and microservices ecosystem. Table 2.2 details the complete software dependency stack:</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3072"/>
        <w:gridCol w:w="3072"/>
        <w:gridCol w:w="3072"/>
      </w:tblGrid>
      <w:tr>
        <w:tc>
          <w:tcPr>
            <w:tcW w:type="dxa" w:w="2592"/>
            <w:shd w:fill="152035"/>
            <w:tcMar>
              <w:top w:w="60" w:type="dxa"/>
              <w:bottom w:w="60" w:type="dxa"/>
              <w:left w:w="80" w:type="dxa"/>
              <w:right w:w="80" w:type="dxa"/>
            </w:tcMar>
          </w:tcPr>
          <w:p>
            <w:pPr>
              <w:jc w:val="left"/>
            </w:pPr>
            <w:r>
              <w:rPr>
                <w:rFonts w:ascii="Times New Roman" w:hAnsi="Times New Roman"/>
                <w:b/>
                <w:color w:val="FFFFFF"/>
                <w:sz w:val="19"/>
              </w:rPr>
              <w:t>LAYER / CATEGORY</w:t>
            </w:r>
          </w:p>
        </w:tc>
        <w:tc>
          <w:tcPr>
            <w:tcW w:type="dxa" w:w="2592"/>
            <w:shd w:fill="152035"/>
            <w:tcMar>
              <w:top w:w="60" w:type="dxa"/>
              <w:bottom w:w="60" w:type="dxa"/>
              <w:left w:w="80" w:type="dxa"/>
              <w:right w:w="80" w:type="dxa"/>
            </w:tcMar>
          </w:tcPr>
          <w:p>
            <w:pPr>
              <w:jc w:val="left"/>
            </w:pPr>
            <w:r>
              <w:rPr>
                <w:rFonts w:ascii="Times New Roman" w:hAnsi="Times New Roman"/>
                <w:b/>
                <w:color w:val="FFFFFF"/>
                <w:sz w:val="19"/>
              </w:rPr>
              <w:t>TECHNOLOGY / PACKAGE</w:t>
            </w:r>
          </w:p>
        </w:tc>
        <w:tc>
          <w:tcPr>
            <w:tcW w:type="dxa" w:w="4176"/>
            <w:shd w:fill="152035"/>
            <w:tcMar>
              <w:top w:w="60" w:type="dxa"/>
              <w:bottom w:w="60" w:type="dxa"/>
              <w:left w:w="80" w:type="dxa"/>
              <w:right w:w="80" w:type="dxa"/>
            </w:tcMar>
          </w:tcPr>
          <w:p>
            <w:pPr>
              <w:jc w:val="left"/>
            </w:pPr>
            <w:r>
              <w:rPr>
                <w:rFonts w:ascii="Times New Roman" w:hAnsi="Times New Roman"/>
                <w:b/>
                <w:color w:val="FFFFFF"/>
                <w:sz w:val="19"/>
              </w:rPr>
              <w:t>VERSION &amp; OPERATIONAL ROLE</w:t>
            </w:r>
          </w:p>
        </w:tc>
      </w:tr>
      <w:tr>
        <w:tc>
          <w:tcPr>
            <w:tcW w:type="dxa" w:w="2592"/>
            <w:tcMar>
              <w:top w:w="45" w:type="dxa"/>
              <w:bottom w:w="45" w:type="dxa"/>
              <w:left w:w="80" w:type="dxa"/>
              <w:right w:w="80" w:type="dxa"/>
            </w:tcMar>
          </w:tcPr>
          <w:p>
            <w:pPr>
              <w:jc w:val="left"/>
            </w:pPr>
            <w:r>
              <w:rPr>
                <w:rFonts w:ascii="Times New Roman" w:hAnsi="Times New Roman"/>
                <w:b/>
                <w:sz w:val="18"/>
              </w:rPr>
              <w:t>Base Runtime Environment</w:t>
            </w:r>
          </w:p>
        </w:tc>
        <w:tc>
          <w:tcPr>
            <w:tcW w:type="dxa" w:w="2592"/>
            <w:tcMar>
              <w:top w:w="45" w:type="dxa"/>
              <w:bottom w:w="45" w:type="dxa"/>
              <w:left w:w="80" w:type="dxa"/>
              <w:right w:w="80" w:type="dxa"/>
            </w:tcMar>
          </w:tcPr>
          <w:p>
            <w:pPr>
              <w:jc w:val="left"/>
            </w:pPr>
            <w:r>
              <w:rPr>
                <w:rFonts w:ascii="Times New Roman" w:hAnsi="Times New Roman"/>
                <w:sz w:val="18"/>
              </w:rPr>
              <w:t>Python Core Interpreter</w:t>
            </w:r>
          </w:p>
        </w:tc>
        <w:tc>
          <w:tcPr>
            <w:tcW w:type="dxa" w:w="4176"/>
            <w:tcMar>
              <w:top w:w="45" w:type="dxa"/>
              <w:bottom w:w="45" w:type="dxa"/>
              <w:left w:w="80" w:type="dxa"/>
              <w:right w:w="80" w:type="dxa"/>
            </w:tcMar>
          </w:tcPr>
          <w:p>
            <w:pPr>
              <w:jc w:val="left"/>
            </w:pPr>
            <w:r>
              <w:rPr>
                <w:rFonts w:ascii="Times New Roman" w:hAnsi="Times New Roman"/>
                <w:sz w:val="18"/>
              </w:rPr>
              <w:t>v3.11 / v3.14 (64-bit CPython Engine)</w:t>
            </w:r>
          </w:p>
        </w:tc>
      </w:tr>
      <w:tr>
        <w:tc>
          <w:tcPr>
            <w:tcW w:type="dxa" w:w="2592"/>
            <w:tcMar>
              <w:top w:w="45" w:type="dxa"/>
              <w:bottom w:w="45" w:type="dxa"/>
              <w:left w:w="80" w:type="dxa"/>
              <w:right w:w="80" w:type="dxa"/>
            </w:tcMar>
          </w:tcPr>
          <w:p>
            <w:pPr>
              <w:jc w:val="left"/>
            </w:pPr>
            <w:r>
              <w:rPr>
                <w:rFonts w:ascii="Times New Roman" w:hAnsi="Times New Roman"/>
                <w:b/>
                <w:sz w:val="18"/>
              </w:rPr>
              <w:t>Operating System Support</w:t>
            </w:r>
          </w:p>
        </w:tc>
        <w:tc>
          <w:tcPr>
            <w:tcW w:type="dxa" w:w="2592"/>
            <w:tcMar>
              <w:top w:w="45" w:type="dxa"/>
              <w:bottom w:w="45" w:type="dxa"/>
              <w:left w:w="80" w:type="dxa"/>
              <w:right w:w="80" w:type="dxa"/>
            </w:tcMar>
          </w:tcPr>
          <w:p>
            <w:pPr>
              <w:jc w:val="left"/>
            </w:pPr>
            <w:r>
              <w:rPr>
                <w:rFonts w:ascii="Times New Roman" w:hAnsi="Times New Roman"/>
                <w:sz w:val="18"/>
              </w:rPr>
              <w:t>Microsoft Windows / Linux</w:t>
            </w:r>
          </w:p>
        </w:tc>
        <w:tc>
          <w:tcPr>
            <w:tcW w:type="dxa" w:w="4176"/>
            <w:tcMar>
              <w:top w:w="45" w:type="dxa"/>
              <w:bottom w:w="45" w:type="dxa"/>
              <w:left w:w="80" w:type="dxa"/>
              <w:right w:w="80" w:type="dxa"/>
            </w:tcMar>
          </w:tcPr>
          <w:p>
            <w:pPr>
              <w:jc w:val="left"/>
            </w:pPr>
            <w:r>
              <w:rPr>
                <w:rFonts w:ascii="Times New Roman" w:hAnsi="Times New Roman"/>
                <w:sz w:val="18"/>
              </w:rPr>
              <w:t>Windows 11 Enterprise / Ubuntu 22.04 LTS</w:t>
            </w:r>
          </w:p>
        </w:tc>
      </w:tr>
      <w:tr>
        <w:tc>
          <w:tcPr>
            <w:tcW w:type="dxa" w:w="2592"/>
            <w:tcMar>
              <w:top w:w="45" w:type="dxa"/>
              <w:bottom w:w="45" w:type="dxa"/>
              <w:left w:w="80" w:type="dxa"/>
              <w:right w:w="80" w:type="dxa"/>
            </w:tcMar>
          </w:tcPr>
          <w:p>
            <w:pPr>
              <w:jc w:val="left"/>
            </w:pPr>
            <w:r>
              <w:rPr>
                <w:rFonts w:ascii="Times New Roman" w:hAnsi="Times New Roman"/>
                <w:b/>
                <w:sz w:val="18"/>
              </w:rPr>
              <w:t>Data Ingestion &amp; Matrix Ops</w:t>
            </w:r>
          </w:p>
        </w:tc>
        <w:tc>
          <w:tcPr>
            <w:tcW w:type="dxa" w:w="2592"/>
            <w:tcMar>
              <w:top w:w="45" w:type="dxa"/>
              <w:bottom w:w="45" w:type="dxa"/>
              <w:left w:w="80" w:type="dxa"/>
              <w:right w:w="80" w:type="dxa"/>
            </w:tcMar>
          </w:tcPr>
          <w:p>
            <w:pPr>
              <w:jc w:val="left"/>
            </w:pPr>
            <w:r>
              <w:rPr>
                <w:rFonts w:ascii="Times New Roman" w:hAnsi="Times New Roman"/>
                <w:sz w:val="18"/>
              </w:rPr>
              <w:t>Pandas &amp; NumPy</w:t>
            </w:r>
          </w:p>
        </w:tc>
        <w:tc>
          <w:tcPr>
            <w:tcW w:type="dxa" w:w="4176"/>
            <w:tcMar>
              <w:top w:w="45" w:type="dxa"/>
              <w:bottom w:w="45" w:type="dxa"/>
              <w:left w:w="80" w:type="dxa"/>
              <w:right w:w="80" w:type="dxa"/>
            </w:tcMar>
          </w:tcPr>
          <w:p>
            <w:pPr>
              <w:jc w:val="left"/>
            </w:pPr>
            <w:r>
              <w:rPr>
                <w:rFonts w:ascii="Times New Roman" w:hAnsi="Times New Roman"/>
                <w:sz w:val="18"/>
              </w:rPr>
              <w:t>Pandas 2.2+, NumPy 1.26+ (High-Performance Arrays)</w:t>
            </w:r>
          </w:p>
        </w:tc>
      </w:tr>
      <w:tr>
        <w:tc>
          <w:tcPr>
            <w:tcW w:type="dxa" w:w="2592"/>
            <w:tcMar>
              <w:top w:w="45" w:type="dxa"/>
              <w:bottom w:w="45" w:type="dxa"/>
              <w:left w:w="80" w:type="dxa"/>
              <w:right w:w="80" w:type="dxa"/>
            </w:tcMar>
          </w:tcPr>
          <w:p>
            <w:pPr>
              <w:jc w:val="left"/>
            </w:pPr>
            <w:r>
              <w:rPr>
                <w:rFonts w:ascii="Times New Roman" w:hAnsi="Times New Roman"/>
                <w:b/>
                <w:sz w:val="18"/>
              </w:rPr>
              <w:t>Survival Analysis Core</w:t>
            </w:r>
          </w:p>
        </w:tc>
        <w:tc>
          <w:tcPr>
            <w:tcW w:type="dxa" w:w="2592"/>
            <w:tcMar>
              <w:top w:w="45" w:type="dxa"/>
              <w:bottom w:w="45" w:type="dxa"/>
              <w:left w:w="80" w:type="dxa"/>
              <w:right w:w="80" w:type="dxa"/>
            </w:tcMar>
          </w:tcPr>
          <w:p>
            <w:pPr>
              <w:jc w:val="left"/>
            </w:pPr>
            <w:r>
              <w:rPr>
                <w:rFonts w:ascii="Times New Roman" w:hAnsi="Times New Roman"/>
                <w:sz w:val="18"/>
              </w:rPr>
              <w:t>Lifelines &amp; Scikit-survival</w:t>
            </w:r>
          </w:p>
        </w:tc>
        <w:tc>
          <w:tcPr>
            <w:tcW w:type="dxa" w:w="4176"/>
            <w:tcMar>
              <w:top w:w="45" w:type="dxa"/>
              <w:bottom w:w="45" w:type="dxa"/>
              <w:left w:w="80" w:type="dxa"/>
              <w:right w:w="80" w:type="dxa"/>
            </w:tcMar>
          </w:tcPr>
          <w:p>
            <w:pPr>
              <w:jc w:val="left"/>
            </w:pPr>
            <w:r>
              <w:rPr>
                <w:rFonts w:ascii="Times New Roman" w:hAnsi="Times New Roman"/>
                <w:sz w:val="18"/>
              </w:rPr>
              <w:t>Lifelines 0.28+ (Cox, KM, Weibull AFT), RSF 0.23+</w:t>
            </w:r>
          </w:p>
        </w:tc>
      </w:tr>
      <w:tr>
        <w:tc>
          <w:tcPr>
            <w:tcW w:type="dxa" w:w="2592"/>
            <w:tcMar>
              <w:top w:w="45" w:type="dxa"/>
              <w:bottom w:w="45" w:type="dxa"/>
              <w:left w:w="80" w:type="dxa"/>
              <w:right w:w="80" w:type="dxa"/>
            </w:tcMar>
          </w:tcPr>
          <w:p>
            <w:pPr>
              <w:jc w:val="left"/>
            </w:pPr>
            <w:r>
              <w:rPr>
                <w:rFonts w:ascii="Times New Roman" w:hAnsi="Times New Roman"/>
                <w:b/>
                <w:sz w:val="18"/>
              </w:rPr>
              <w:t>Machine Learning Utilities</w:t>
            </w:r>
          </w:p>
        </w:tc>
        <w:tc>
          <w:tcPr>
            <w:tcW w:type="dxa" w:w="2592"/>
            <w:tcMar>
              <w:top w:w="45" w:type="dxa"/>
              <w:bottom w:w="45" w:type="dxa"/>
              <w:left w:w="80" w:type="dxa"/>
              <w:right w:w="80" w:type="dxa"/>
            </w:tcMar>
          </w:tcPr>
          <w:p>
            <w:pPr>
              <w:jc w:val="left"/>
            </w:pPr>
            <w:r>
              <w:rPr>
                <w:rFonts w:ascii="Times New Roman" w:hAnsi="Times New Roman"/>
                <w:sz w:val="18"/>
              </w:rPr>
              <w:t>Scikit-Learn &amp; Joblib</w:t>
            </w:r>
          </w:p>
        </w:tc>
        <w:tc>
          <w:tcPr>
            <w:tcW w:type="dxa" w:w="4176"/>
            <w:tcMar>
              <w:top w:w="45" w:type="dxa"/>
              <w:bottom w:w="45" w:type="dxa"/>
              <w:left w:w="80" w:type="dxa"/>
              <w:right w:w="80" w:type="dxa"/>
            </w:tcMar>
          </w:tcPr>
          <w:p>
            <w:pPr>
              <w:jc w:val="left"/>
            </w:pPr>
            <w:r>
              <w:rPr>
                <w:rFonts w:ascii="Times New Roman" w:hAnsi="Times New Roman"/>
                <w:sz w:val="18"/>
              </w:rPr>
              <w:t>Scikit-learn 1.4+ (Transforms, Metrics, Serializers)</w:t>
            </w:r>
          </w:p>
        </w:tc>
      </w:tr>
      <w:tr>
        <w:tc>
          <w:tcPr>
            <w:tcW w:type="dxa" w:w="2592"/>
            <w:tcMar>
              <w:top w:w="45" w:type="dxa"/>
              <w:bottom w:w="45" w:type="dxa"/>
              <w:left w:w="80" w:type="dxa"/>
              <w:right w:w="80" w:type="dxa"/>
            </w:tcMar>
          </w:tcPr>
          <w:p>
            <w:pPr>
              <w:jc w:val="left"/>
            </w:pPr>
            <w:r>
              <w:rPr>
                <w:rFonts w:ascii="Times New Roman" w:hAnsi="Times New Roman"/>
                <w:b/>
                <w:sz w:val="18"/>
              </w:rPr>
              <w:t>Causal Uplift Modeling</w:t>
            </w:r>
          </w:p>
        </w:tc>
        <w:tc>
          <w:tcPr>
            <w:tcW w:type="dxa" w:w="2592"/>
            <w:tcMar>
              <w:top w:w="45" w:type="dxa"/>
              <w:bottom w:w="45" w:type="dxa"/>
              <w:left w:w="80" w:type="dxa"/>
              <w:right w:w="80" w:type="dxa"/>
            </w:tcMar>
          </w:tcPr>
          <w:p>
            <w:pPr>
              <w:jc w:val="left"/>
            </w:pPr>
            <w:r>
              <w:rPr>
                <w:rFonts w:ascii="Times New Roman" w:hAnsi="Times New Roman"/>
                <w:sz w:val="18"/>
              </w:rPr>
              <w:t>CausalML &amp; Custom Learners</w:t>
            </w:r>
          </w:p>
        </w:tc>
        <w:tc>
          <w:tcPr>
            <w:tcW w:type="dxa" w:w="4176"/>
            <w:tcMar>
              <w:top w:w="45" w:type="dxa"/>
              <w:bottom w:w="45" w:type="dxa"/>
              <w:left w:w="80" w:type="dxa"/>
              <w:right w:w="80" w:type="dxa"/>
            </w:tcMar>
          </w:tcPr>
          <w:p>
            <w:pPr>
              <w:jc w:val="left"/>
            </w:pPr>
            <w:r>
              <w:rPr>
                <w:rFonts w:ascii="Times New Roman" w:hAnsi="Times New Roman"/>
                <w:sz w:val="18"/>
              </w:rPr>
              <w:t>T-Learner, S-Learner, and X-Learner Implementations</w:t>
            </w:r>
          </w:p>
        </w:tc>
      </w:tr>
      <w:tr>
        <w:tc>
          <w:tcPr>
            <w:tcW w:type="dxa" w:w="2592"/>
            <w:tcMar>
              <w:top w:w="45" w:type="dxa"/>
              <w:bottom w:w="45" w:type="dxa"/>
              <w:left w:w="80" w:type="dxa"/>
              <w:right w:w="80" w:type="dxa"/>
            </w:tcMar>
          </w:tcPr>
          <w:p>
            <w:pPr>
              <w:jc w:val="left"/>
            </w:pPr>
            <w:r>
              <w:rPr>
                <w:rFonts w:ascii="Times New Roman" w:hAnsi="Times New Roman"/>
                <w:b/>
                <w:sz w:val="18"/>
              </w:rPr>
              <w:t>RESTful Microservice API</w:t>
            </w:r>
          </w:p>
        </w:tc>
        <w:tc>
          <w:tcPr>
            <w:tcW w:type="dxa" w:w="2592"/>
            <w:tcMar>
              <w:top w:w="45" w:type="dxa"/>
              <w:bottom w:w="45" w:type="dxa"/>
              <w:left w:w="80" w:type="dxa"/>
              <w:right w:w="80" w:type="dxa"/>
            </w:tcMar>
          </w:tcPr>
          <w:p>
            <w:pPr>
              <w:jc w:val="left"/>
            </w:pPr>
            <w:r>
              <w:rPr>
                <w:rFonts w:ascii="Times New Roman" w:hAnsi="Times New Roman"/>
                <w:sz w:val="18"/>
              </w:rPr>
              <w:t>FastAPI &amp; Uvicorn</w:t>
            </w:r>
          </w:p>
        </w:tc>
        <w:tc>
          <w:tcPr>
            <w:tcW w:type="dxa" w:w="4176"/>
            <w:tcMar>
              <w:top w:w="45" w:type="dxa"/>
              <w:bottom w:w="45" w:type="dxa"/>
              <w:left w:w="80" w:type="dxa"/>
              <w:right w:w="80" w:type="dxa"/>
            </w:tcMar>
          </w:tcPr>
          <w:p>
            <w:pPr>
              <w:jc w:val="left"/>
            </w:pPr>
            <w:r>
              <w:rPr>
                <w:rFonts w:ascii="Times New Roman" w:hAnsi="Times New Roman"/>
                <w:sz w:val="18"/>
              </w:rPr>
              <w:t>FastAPI 0.110+, Uvicorn 0.28+ (ASGI Async Engine)</w:t>
            </w:r>
          </w:p>
        </w:tc>
      </w:tr>
      <w:tr>
        <w:tc>
          <w:tcPr>
            <w:tcW w:type="dxa" w:w="2592"/>
            <w:tcMar>
              <w:top w:w="45" w:type="dxa"/>
              <w:bottom w:w="45" w:type="dxa"/>
              <w:left w:w="80" w:type="dxa"/>
              <w:right w:w="80" w:type="dxa"/>
            </w:tcMar>
          </w:tcPr>
          <w:p>
            <w:pPr>
              <w:jc w:val="left"/>
            </w:pPr>
            <w:r>
              <w:rPr>
                <w:rFonts w:ascii="Times New Roman" w:hAnsi="Times New Roman"/>
                <w:b/>
                <w:sz w:val="18"/>
              </w:rPr>
              <w:t>Data Validation Schemas</w:t>
            </w:r>
          </w:p>
        </w:tc>
        <w:tc>
          <w:tcPr>
            <w:tcW w:type="dxa" w:w="2592"/>
            <w:tcMar>
              <w:top w:w="45" w:type="dxa"/>
              <w:bottom w:w="45" w:type="dxa"/>
              <w:left w:w="80" w:type="dxa"/>
              <w:right w:w="80" w:type="dxa"/>
            </w:tcMar>
          </w:tcPr>
          <w:p>
            <w:pPr>
              <w:jc w:val="left"/>
            </w:pPr>
            <w:r>
              <w:rPr>
                <w:rFonts w:ascii="Times New Roman" w:hAnsi="Times New Roman"/>
                <w:sz w:val="18"/>
              </w:rPr>
              <w:t>Pydantic v2</w:t>
            </w:r>
          </w:p>
        </w:tc>
        <w:tc>
          <w:tcPr>
            <w:tcW w:type="dxa" w:w="4176"/>
            <w:tcMar>
              <w:top w:w="45" w:type="dxa"/>
              <w:bottom w:w="45" w:type="dxa"/>
              <w:left w:w="80" w:type="dxa"/>
              <w:right w:w="80" w:type="dxa"/>
            </w:tcMar>
          </w:tcPr>
          <w:p>
            <w:pPr>
              <w:jc w:val="left"/>
            </w:pPr>
            <w:r>
              <w:rPr>
                <w:rFonts w:ascii="Times New Roman" w:hAnsi="Times New Roman"/>
                <w:sz w:val="18"/>
              </w:rPr>
              <w:t>Pydantic 2.6+ (Strict Type Checking &amp; OpenAPI Schema)</w:t>
            </w:r>
          </w:p>
        </w:tc>
      </w:tr>
      <w:tr>
        <w:tc>
          <w:tcPr>
            <w:tcW w:type="dxa" w:w="2592"/>
            <w:tcMar>
              <w:top w:w="45" w:type="dxa"/>
              <w:bottom w:w="45" w:type="dxa"/>
              <w:left w:w="80" w:type="dxa"/>
              <w:right w:w="80" w:type="dxa"/>
            </w:tcMar>
          </w:tcPr>
          <w:p>
            <w:pPr>
              <w:jc w:val="left"/>
            </w:pPr>
            <w:r>
              <w:rPr>
                <w:rFonts w:ascii="Times New Roman" w:hAnsi="Times New Roman"/>
                <w:b/>
                <w:sz w:val="18"/>
              </w:rPr>
              <w:t>Operational UI Dashboard</w:t>
            </w:r>
          </w:p>
        </w:tc>
        <w:tc>
          <w:tcPr>
            <w:tcW w:type="dxa" w:w="2592"/>
            <w:tcMar>
              <w:top w:w="45" w:type="dxa"/>
              <w:bottom w:w="45" w:type="dxa"/>
              <w:left w:w="80" w:type="dxa"/>
              <w:right w:w="80" w:type="dxa"/>
            </w:tcMar>
          </w:tcPr>
          <w:p>
            <w:pPr>
              <w:jc w:val="left"/>
            </w:pPr>
            <w:r>
              <w:rPr>
                <w:rFonts w:ascii="Times New Roman" w:hAnsi="Times New Roman"/>
                <w:sz w:val="18"/>
              </w:rPr>
              <w:t>Streamlit &amp; Plotly</w:t>
            </w:r>
          </w:p>
        </w:tc>
        <w:tc>
          <w:tcPr>
            <w:tcW w:type="dxa" w:w="4176"/>
            <w:tcMar>
              <w:top w:w="45" w:type="dxa"/>
              <w:bottom w:w="45" w:type="dxa"/>
              <w:left w:w="80" w:type="dxa"/>
              <w:right w:w="80" w:type="dxa"/>
            </w:tcMar>
          </w:tcPr>
          <w:p>
            <w:pPr>
              <w:jc w:val="left"/>
            </w:pPr>
            <w:r>
              <w:rPr>
                <w:rFonts w:ascii="Times New Roman" w:hAnsi="Times New Roman"/>
                <w:sz w:val="18"/>
              </w:rPr>
              <w:t>Streamlit 1.32+, Plotly 5.20+ (Interactive Dark Theme)</w:t>
            </w:r>
          </w:p>
        </w:tc>
      </w:tr>
      <w:tr>
        <w:tc>
          <w:tcPr>
            <w:tcW w:type="dxa" w:w="2592"/>
            <w:tcMar>
              <w:top w:w="45" w:type="dxa"/>
              <w:bottom w:w="45" w:type="dxa"/>
              <w:left w:w="80" w:type="dxa"/>
              <w:right w:w="80" w:type="dxa"/>
            </w:tcMar>
          </w:tcPr>
          <w:p>
            <w:pPr>
              <w:jc w:val="left"/>
            </w:pPr>
            <w:r>
              <w:rPr>
                <w:rFonts w:ascii="Times New Roman" w:hAnsi="Times New Roman"/>
                <w:b/>
                <w:sz w:val="18"/>
              </w:rPr>
              <w:t>Quality Assurance &amp; Testing</w:t>
            </w:r>
          </w:p>
        </w:tc>
        <w:tc>
          <w:tcPr>
            <w:tcW w:type="dxa" w:w="2592"/>
            <w:tcMar>
              <w:top w:w="45" w:type="dxa"/>
              <w:bottom w:w="45" w:type="dxa"/>
              <w:left w:w="80" w:type="dxa"/>
              <w:right w:w="80" w:type="dxa"/>
            </w:tcMar>
          </w:tcPr>
          <w:p>
            <w:pPr>
              <w:jc w:val="left"/>
            </w:pPr>
            <w:r>
              <w:rPr>
                <w:rFonts w:ascii="Times New Roman" w:hAnsi="Times New Roman"/>
                <w:sz w:val="18"/>
              </w:rPr>
              <w:t>Pytest &amp; AnyIO</w:t>
            </w:r>
          </w:p>
        </w:tc>
        <w:tc>
          <w:tcPr>
            <w:tcW w:type="dxa" w:w="4176"/>
            <w:tcMar>
              <w:top w:w="45" w:type="dxa"/>
              <w:bottom w:w="45" w:type="dxa"/>
              <w:left w:w="80" w:type="dxa"/>
              <w:right w:w="80" w:type="dxa"/>
            </w:tcMar>
          </w:tcPr>
          <w:p>
            <w:pPr>
              <w:jc w:val="left"/>
            </w:pPr>
            <w:r>
              <w:rPr>
                <w:rFonts w:ascii="Times New Roman" w:hAnsi="Times New Roman"/>
                <w:sz w:val="18"/>
              </w:rPr>
              <w:t>Pytest 8.1+, Pytest-asyncio (27 Automated Test Cases)</w:t>
            </w:r>
          </w:p>
        </w:tc>
      </w:tr>
      <w:tr>
        <w:tc>
          <w:tcPr>
            <w:tcW w:type="dxa" w:w="2592"/>
            <w:tcMar>
              <w:top w:w="45" w:type="dxa"/>
              <w:bottom w:w="45" w:type="dxa"/>
              <w:left w:w="80" w:type="dxa"/>
              <w:right w:w="80" w:type="dxa"/>
            </w:tcMar>
          </w:tcPr>
          <w:p>
            <w:pPr>
              <w:jc w:val="left"/>
            </w:pPr>
            <w:r>
              <w:rPr>
                <w:rFonts w:ascii="Times New Roman" w:hAnsi="Times New Roman"/>
                <w:b/>
                <w:sz w:val="18"/>
              </w:rPr>
              <w:t>Audit &amp; Cryptography</w:t>
            </w:r>
          </w:p>
        </w:tc>
        <w:tc>
          <w:tcPr>
            <w:tcW w:type="dxa" w:w="2592"/>
            <w:tcMar>
              <w:top w:w="45" w:type="dxa"/>
              <w:bottom w:w="45" w:type="dxa"/>
              <w:left w:w="80" w:type="dxa"/>
              <w:right w:w="80" w:type="dxa"/>
            </w:tcMar>
          </w:tcPr>
          <w:p>
            <w:pPr>
              <w:jc w:val="left"/>
            </w:pPr>
            <w:r>
              <w:rPr>
                <w:rFonts w:ascii="Times New Roman" w:hAnsi="Times New Roman"/>
                <w:sz w:val="18"/>
              </w:rPr>
              <w:t>Python hashlib (SHA-256)</w:t>
            </w:r>
          </w:p>
        </w:tc>
        <w:tc>
          <w:tcPr>
            <w:tcW w:type="dxa" w:w="4176"/>
            <w:tcMar>
              <w:top w:w="45" w:type="dxa"/>
              <w:bottom w:w="45" w:type="dxa"/>
              <w:left w:w="80" w:type="dxa"/>
              <w:right w:w="80" w:type="dxa"/>
            </w:tcMar>
          </w:tcPr>
          <w:p>
            <w:pPr>
              <w:jc w:val="left"/>
            </w:pPr>
            <w:r>
              <w:rPr>
                <w:rFonts w:ascii="Times New Roman" w:hAnsi="Times New Roman"/>
                <w:sz w:val="18"/>
              </w:rPr>
              <w:t>Standard Library Cryptographic Hash Chaining</w:t>
            </w:r>
          </w:p>
        </w:tc>
      </w:tr>
    </w:tbl>
    <w:p>
      <w:pPr>
        <w:spacing w:before="80" w:after="200" w:line="276" w:lineRule="auto"/>
        <w:jc w:val="center"/>
      </w:pPr>
      <w:r>
        <w:rPr>
          <w:rFonts w:ascii="Times New Roman" w:hAnsi="Times New Roman"/>
          <w:b/>
          <w:i/>
          <w:sz w:val="18"/>
        </w:rPr>
        <w:t>Table 2.2: Software Stack, Dependencies and Engineering Frameworks</w:t>
      </w:r>
    </w:p>
    <w:p>
      <w:pPr>
        <w:spacing w:before="160" w:after="80" w:line="276" w:lineRule="auto"/>
        <w:jc w:val="left"/>
      </w:pPr>
      <w:r>
        <w:rPr>
          <w:rFonts w:ascii="Times New Roman" w:hAnsi="Times New Roman"/>
          <w:b/>
          <w:color w:val="142D55"/>
          <w:sz w:val="26"/>
        </w:rPr>
        <w:t>2.6 SURVEY OF TECHNOLOGY AND ALGORITHMIC FOUNDATIONS</w:t>
      </w:r>
    </w:p>
    <w:p>
      <w:pPr>
        <w:spacing w:before="0" w:after="80" w:line="276" w:lineRule="auto"/>
        <w:jc w:val="both"/>
      </w:pPr>
      <w:r>
        <w:rPr>
          <w:rFonts w:ascii="Times New Roman" w:hAnsi="Times New Roman"/>
          <w:color w:val="1E232D"/>
          <w:sz w:val="22"/>
        </w:rPr>
        <w:t>To establish a solid technical foundation, the core algorithms and software paradigms incorporated into RetainIQ are reviewed with mathematical and computational rigor:</w:t>
      </w:r>
    </w:p>
    <w:p>
      <w:pPr>
        <w:spacing w:before="0" w:after="80" w:line="276" w:lineRule="auto"/>
        <w:jc w:val="both"/>
      </w:pPr>
      <w:r>
        <w:rPr>
          <w:rFonts w:ascii="Times New Roman" w:hAnsi="Times New Roman"/>
          <w:b/>
          <w:color w:val="141E2D"/>
          <w:sz w:val="22"/>
        </w:rPr>
        <w:t xml:space="preserve">1. Theoretical Foundations of Survival Analysis: </w:t>
      </w:r>
      <w:r>
        <w:rPr>
          <w:rFonts w:ascii="Times New Roman" w:hAnsi="Times New Roman"/>
          <w:color w:val="1E232D"/>
          <w:sz w:val="22"/>
        </w:rPr>
        <w:t>Survival analysis models the distribution of time until an event occurs (T &gt;= 0). The fundamental quantities of interest are the Survival Function S(t) = P(T &gt; t) and the Hazard Function h(t). The hazard function h(t) represents the instantaneous rate of event occurrence given survival up to time t: h(t) = lim_{Delta t -&gt; 0} P(t &lt;= T &lt; t + Delta t | T &gt;= t) / Delta t. The cumulative hazard H(t) is defined as the integral of h(u) from 0 to t, yielding the exact mathematical identity: S(t) = exp(-H(t)). Unlike standard classification models that minimize cross-entropy loss over binary labels, survival models maximize a likelihood function that explicitly partitions the cohort into uncensored event contributions (f(T_i)) and right-censored survival contributions (S(T_i)).</w:t>
      </w:r>
    </w:p>
    <w:p>
      <w:pPr>
        <w:spacing w:before="0" w:after="80" w:line="276" w:lineRule="auto"/>
        <w:jc w:val="both"/>
      </w:pPr>
      <w:r>
        <w:rPr>
          <w:rFonts w:ascii="Times New Roman" w:hAnsi="Times New Roman"/>
          <w:b/>
          <w:color w:val="141E2D"/>
          <w:sz w:val="22"/>
        </w:rPr>
        <w:t xml:space="preserve">2. Semi-Parametric Cox Proportional Hazards (Cox PH): </w:t>
      </w:r>
      <w:r>
        <w:rPr>
          <w:rFonts w:ascii="Times New Roman" w:hAnsi="Times New Roman"/>
          <w:color w:val="1E232D"/>
          <w:sz w:val="22"/>
        </w:rPr>
        <w:t>The semi-parametric Cox model assumes the hazard for individual i with covariate vector x_i can be factored into a non-parametric baseline hazard h_0(t) and a parametric exponential covariate multiplier: h(t | x_i) = h_0(t) exp(beta^T x_i). The principal advantage of Cox PH is that the baseline hazard h_0(t) cancels out when formulating the partial likelihood over the set of individuals at risk R(t_i) at each event time t_i: L(beta) = prod_{i: d_i=1} [exp(beta^T x_i) / sum_{j in R(t_i)} exp(beta^T x_j)]. This allows robust estimation of covariate hazard ratios (HR = exp(beta)) without making restrictive distributional assumptions regarding the underlying survival trajectory.</w:t>
      </w:r>
    </w:p>
    <w:p>
      <w:pPr>
        <w:spacing w:before="0" w:after="80" w:line="276" w:lineRule="auto"/>
        <w:jc w:val="both"/>
      </w:pPr>
      <w:r>
        <w:rPr>
          <w:rFonts w:ascii="Times New Roman" w:hAnsi="Times New Roman"/>
          <w:b/>
          <w:color w:val="141E2D"/>
          <w:sz w:val="22"/>
        </w:rPr>
        <w:t xml:space="preserve">3. Parametric Weibull Accelerated Failure Time (AFT): </w:t>
      </w:r>
      <w:r>
        <w:rPr>
          <w:rFonts w:ascii="Times New Roman" w:hAnsi="Times New Roman"/>
          <w:color w:val="1E232D"/>
          <w:sz w:val="22"/>
        </w:rPr>
        <w:t>In contrast to the semi-parametric formulation, Accelerated Failure Time (AFT) models assume that covariates act multiplicatively on the time scale itself, accelerating or decelerating the rate of aging: ln(T_i) = mu + alpha^T x_i + sigma W_i, where W_i represents an extreme value error distribution. Under the Weibull distribution, the baseline hazard follows h_0(t) = (gamma / lambda) * (t / lambda)^{gamma - 1}, where gamma denotes the shape parameter and lambda denotes the scale parameter. When gamma &gt; 1, the hazard rate increases over tenure (aging effect); when gamma &lt; 1, the hazard rate decreases (burn-in effect). This parametric formulation enables analytical calculation of restricted mean survival times and continuous quantile projections.</w:t>
      </w:r>
    </w:p>
    <w:p>
      <w:pPr>
        <w:spacing w:before="0" w:after="80" w:line="276" w:lineRule="auto"/>
        <w:jc w:val="both"/>
      </w:pPr>
      <w:r>
        <w:rPr>
          <w:rFonts w:ascii="Times New Roman" w:hAnsi="Times New Roman"/>
          <w:b/>
          <w:color w:val="141E2D"/>
          <w:sz w:val="22"/>
        </w:rPr>
        <w:t xml:space="preserve">4. Non-Linear Random Survival Forests (RSF): </w:t>
      </w:r>
      <w:r>
        <w:rPr>
          <w:rFonts w:ascii="Times New Roman" w:hAnsi="Times New Roman"/>
          <w:color w:val="1E232D"/>
          <w:sz w:val="22"/>
        </w:rPr>
        <w:t>Random Survival Forests extend Breiman's ensemble random forest paradigm to right-censored data (Ishwaran et al., 2008). Unlike classification trees that split on Gini impurity or variance, survival trees recursively partition feature space by maximizing the log-rank split statistic between daughter nodes. In each terminal node, a Nelson-Aalen cumulative hazard estimator is computed. The forest ensemble aggregates these estimates across 100 trees to construct non-linear, non-parametric survival curves that naturally capture high-order covariate interactions without requiring manual feature engineering.</w:t>
      </w:r>
    </w:p>
    <w:p>
      <w:pPr>
        <w:spacing w:before="0" w:after="80" w:line="276" w:lineRule="auto"/>
        <w:jc w:val="both"/>
      </w:pPr>
      <w:r>
        <w:rPr>
          <w:rFonts w:ascii="Times New Roman" w:hAnsi="Times New Roman"/>
          <w:b/>
          <w:color w:val="141E2D"/>
          <w:sz w:val="22"/>
        </w:rPr>
        <w:t xml:space="preserve">5. Causal Uplift Meta-Learners (S-Learner and T-Learner): </w:t>
      </w:r>
      <w:r>
        <w:rPr>
          <w:rFonts w:ascii="Times New Roman" w:hAnsi="Times New Roman"/>
          <w:color w:val="1E232D"/>
          <w:sz w:val="22"/>
        </w:rPr>
        <w:t>To estimate counterfactual treatment effects under multiple intervention candidates, RetainIQ deploys Meta-Learner architectures (Künzel et al., 2019). The T-Learner fits separate base survival estimators for each treatment arm: mu_k(x) = E[S_k(t) | X=x] and mu_0(x) = E[S_0(t) | X=x]. The Conditional Average Treatment Effect (CATE) is then obtained as the counterfactual contrast: tau_k(x) = mu_k(x) - mu_0(x). In contrast, the S-Learner includes the treatment indicator as an integrated feature within a single composite model: mu(x, w). By evaluating uplift directly in the probability domain, the system accurately isolates incremental treatment sensitivity.</w:t>
      </w:r>
    </w:p>
    <w:p>
      <w:r>
        <w:br w:type="page"/>
      </w:r>
    </w:p>
    <w:p>
      <w:pPr>
        <w:spacing w:before="300" w:after="240" w:line="276" w:lineRule="auto"/>
        <w:jc w:val="left"/>
      </w:pPr>
      <w:r>
        <w:rPr>
          <w:rFonts w:ascii="Times New Roman" w:hAnsi="Times New Roman"/>
          <w:b/>
          <w:color w:val="0F234B"/>
          <w:sz w:val="30"/>
        </w:rPr>
        <w:t>CHAPTER 3: SYSTEM DESIGN</w:t>
      </w:r>
    </w:p>
    <w:p>
      <w:pPr>
        <w:spacing w:before="0" w:after="80" w:line="276" w:lineRule="auto"/>
        <w:jc w:val="both"/>
      </w:pPr>
      <w:r>
        <w:rPr>
          <w:rFonts w:ascii="Times New Roman" w:hAnsi="Times New Roman"/>
          <w:color w:val="1E232D"/>
          <w:sz w:val="22"/>
        </w:rPr>
        <w:t>System design represents the architectural blueprint of RetainIQ, establishing how abstract statistical theories and machine learning algorithms are translated into a cohesive, decoupled, and production-grade software system. The design follows enterprise software engineering best practices: strict separation of concerns, modular pipeline organization, immutable data artifact frozen-states, cryptographic auditability, and standardized REST microservice contracts. This chapter provides a detailed examination of the functional modules, development schedule, architectural diagrams, data flow representations, and Unified Modeling Language (UML) structural and behavioral specifications.</w:t>
      </w:r>
    </w:p>
    <w:p>
      <w:pPr>
        <w:spacing w:before="200" w:after="80" w:line="276" w:lineRule="auto"/>
        <w:jc w:val="left"/>
      </w:pPr>
      <w:r>
        <w:rPr>
          <w:rFonts w:ascii="Times New Roman" w:hAnsi="Times New Roman"/>
          <w:b/>
          <w:color w:val="142D5A"/>
          <w:sz w:val="26"/>
        </w:rPr>
        <w:t>3.1 MODULE DIVISION AND FUNCTIONAL DECOMPOSITION</w:t>
      </w:r>
    </w:p>
    <w:p>
      <w:pPr>
        <w:spacing w:before="0" w:after="80" w:line="276" w:lineRule="auto"/>
        <w:jc w:val="both"/>
      </w:pPr>
      <w:r>
        <w:rPr>
          <w:rFonts w:ascii="Times New Roman" w:hAnsi="Times New Roman"/>
          <w:color w:val="1E232D"/>
          <w:sz w:val="22"/>
        </w:rPr>
        <w:t>RetainIQ is architectured into eight distinct, decoupled functional modules located within the src/, api/, and app/ packages. Each module possesses dedicated responsibilities, strict interface boundaries, and independent unit test coverage:</w:t>
      </w:r>
    </w:p>
    <w:p>
      <w:pPr>
        <w:spacing w:before="40" w:after="60" w:line="276" w:lineRule="auto"/>
        <w:jc w:val="both"/>
      </w:pPr>
      <w:r>
        <w:rPr>
          <w:rFonts w:ascii="Times New Roman" w:hAnsi="Times New Roman"/>
          <w:b/>
          <w:color w:val="0F1E3C"/>
          <w:sz w:val="22"/>
        </w:rPr>
        <w:t xml:space="preserve">Module 1: Ingestion &amp; Preprocessing (src/data_preprocessing.py): </w:t>
      </w:r>
      <w:r>
        <w:rPr>
          <w:rFonts w:ascii="Times New Roman" w:hAnsi="Times New Roman"/>
          <w:color w:val="1E232D"/>
          <w:sz w:val="22"/>
        </w:rPr>
        <w:t>Responsible for ingesting raw customer CSV records, verifying cryptographic data integrity hashes, identifying and coercing whitespace anomalies in TotalCharges to numeric formats, executing tenure-stratified median imputation, performing one-hot categorical encoding with reference category removal, and writing frozen train/test feature artifacts to disk.</w:t>
      </w:r>
    </w:p>
    <w:p>
      <w:pPr>
        <w:spacing w:before="40" w:after="60" w:line="276" w:lineRule="auto"/>
        <w:jc w:val="both"/>
      </w:pPr>
      <w:r>
        <w:rPr>
          <w:rFonts w:ascii="Times New Roman" w:hAnsi="Times New Roman"/>
          <w:b/>
          <w:color w:val="0F1E3C"/>
          <w:sz w:val="22"/>
        </w:rPr>
        <w:t xml:space="preserve">Module 2: Leakage Prevention &amp; Audit (src/leakage_checks.py): </w:t>
      </w:r>
      <w:r>
        <w:rPr>
          <w:rFonts w:ascii="Times New Roman" w:hAnsi="Times New Roman"/>
          <w:color w:val="1E232D"/>
          <w:sz w:val="22"/>
        </w:rPr>
        <w:t>Enforces strict data hygiene by inspecting feature columns against forbidden future-leakage lists, verifying that data transformers (scalers and imputers) are fitted exclusively on the training partition, and mathematically auditing censoring consistency.</w:t>
      </w:r>
    </w:p>
    <w:p>
      <w:pPr>
        <w:spacing w:before="40" w:after="60" w:line="276" w:lineRule="auto"/>
        <w:jc w:val="both"/>
      </w:pPr>
      <w:r>
        <w:rPr>
          <w:rFonts w:ascii="Times New Roman" w:hAnsi="Times New Roman"/>
          <w:b/>
          <w:color w:val="0F1E3C"/>
          <w:sz w:val="22"/>
        </w:rPr>
        <w:t xml:space="preserve">Module 3: Survival Modeling Engine (src/survival_models.py): </w:t>
      </w:r>
      <w:r>
        <w:rPr>
          <w:rFonts w:ascii="Times New Roman" w:hAnsi="Times New Roman"/>
          <w:color w:val="1E232D"/>
          <w:sz w:val="22"/>
        </w:rPr>
        <w:t>Encapsulates multi-paradigm survival estimators: Kaplan-Meier non-parametric baselines, semi-parametric Cox Proportional Hazards fitted via Newton-Raphson partial likelihood optimization, parametric Weibull Accelerated Failure Time models, and Random Survival Forest ensembles. Provides standardized interfaces for extracting cumulative hazard H(t) and survival curves S(t).</w:t>
      </w:r>
    </w:p>
    <w:p>
      <w:pPr>
        <w:spacing w:before="40" w:after="60" w:line="276" w:lineRule="auto"/>
        <w:jc w:val="both"/>
      </w:pPr>
      <w:r>
        <w:rPr>
          <w:rFonts w:ascii="Times New Roman" w:hAnsi="Times New Roman"/>
          <w:b/>
          <w:color w:val="0F1E3C"/>
          <w:sz w:val="22"/>
        </w:rPr>
        <w:t xml:space="preserve">Module 4: Survival Prediction &amp; Evaluation (src/survival_predictions.py, src/survival_evaluation.py): </w:t>
      </w:r>
      <w:r>
        <w:rPr>
          <w:rFonts w:ascii="Times New Roman" w:hAnsi="Times New Roman"/>
          <w:color w:val="1E232D"/>
          <w:sz w:val="22"/>
        </w:rPr>
        <w:t>Computes horizon-specific survival probabilities (30, 60, 90, 180 days) for individual subscribers, stratifies customer cohorts into discrete risk tiers (Low, Medium, High, Critical), and calculates time-dependent Brier scores and Harrell's Concordance Indices.</w:t>
      </w:r>
    </w:p>
    <w:p>
      <w:pPr>
        <w:spacing w:before="40" w:after="60" w:line="276" w:lineRule="auto"/>
        <w:jc w:val="both"/>
      </w:pPr>
      <w:r>
        <w:rPr>
          <w:rFonts w:ascii="Times New Roman" w:hAnsi="Times New Roman"/>
          <w:b/>
          <w:color w:val="0F1E3C"/>
          <w:sz w:val="22"/>
        </w:rPr>
        <w:t xml:space="preserve">Module 5: Causal Uplift &amp; Treatment Modeling (src/treatment_effects.py): </w:t>
      </w:r>
      <w:r>
        <w:rPr>
          <w:rFonts w:ascii="Times New Roman" w:hAnsi="Times New Roman"/>
          <w:color w:val="1E232D"/>
          <w:sz w:val="22"/>
        </w:rPr>
        <w:t>Implements Meta-Learner architectures (T-Learner, S-Learner, and X-Learner) across four candidate retention interventions. Computes the Conditional Average Treatment Effect (CATE) tau(x) = Delta S(t|x) for every customer-treatment pair and evaluates ranking accuracy via cumulative Qini curves and PEHE RMSE.</w:t>
      </w:r>
    </w:p>
    <w:p>
      <w:pPr>
        <w:spacing w:before="40" w:after="60" w:line="276" w:lineRule="auto"/>
        <w:jc w:val="both"/>
      </w:pPr>
      <w:r>
        <w:rPr>
          <w:rFonts w:ascii="Times New Roman" w:hAnsi="Times New Roman"/>
          <w:b/>
          <w:color w:val="0F1E3C"/>
          <w:sz w:val="22"/>
        </w:rPr>
        <w:t xml:space="preserve">Module 6: Prescriptive Ranking &amp; Budget Knapsack (src/treatment_ranking.py): </w:t>
      </w:r>
      <w:r>
        <w:rPr>
          <w:rFonts w:ascii="Times New Roman" w:hAnsi="Times New Roman"/>
          <w:color w:val="1E232D"/>
          <w:sz w:val="22"/>
        </w:rPr>
        <w:t>Evaluates net Expected Retention Value (ERV = Delta S * LTV - Cost) for every candidate intervention, implements greedy and knapsack portfolio budget allocation under aggregate spend caps, and enforces margin-protecting fallback logic ('No Intervention' if ERV &lt;= 0).</w:t>
      </w:r>
    </w:p>
    <w:p>
      <w:pPr>
        <w:spacing w:before="40" w:after="60" w:line="276" w:lineRule="auto"/>
        <w:jc w:val="both"/>
      </w:pPr>
      <w:r>
        <w:rPr>
          <w:rFonts w:ascii="Times New Roman" w:hAnsi="Times New Roman"/>
          <w:b/>
          <w:color w:val="0F1E3C"/>
          <w:sz w:val="22"/>
        </w:rPr>
        <w:t xml:space="preserve">Module 7: Enterprise Governance &amp; Cryptographic Audit (src/audit.py, src/monitoring.py, src/robustness.py): </w:t>
      </w:r>
      <w:r>
        <w:rPr>
          <w:rFonts w:ascii="Times New Roman" w:hAnsi="Times New Roman"/>
          <w:color w:val="1E232D"/>
          <w:sz w:val="22"/>
        </w:rPr>
        <w:t>Maintains an immutable SHA-256 cryptographic hash-chained audit ledger of all prescriptions and manual overrides. Computes continuous Population Stability Index (PSI) drift metrics across input features, and executes automated noise/missingness stress testing suites.</w:t>
      </w:r>
    </w:p>
    <w:p>
      <w:pPr>
        <w:spacing w:before="40" w:after="60" w:line="276" w:lineRule="auto"/>
        <w:jc w:val="both"/>
      </w:pPr>
      <w:r>
        <w:rPr>
          <w:rFonts w:ascii="Times New Roman" w:hAnsi="Times New Roman"/>
          <w:b/>
          <w:color w:val="0F1E3C"/>
          <w:sz w:val="22"/>
        </w:rPr>
        <w:t xml:space="preserve">Module 8: Dual Delivery Interfaces (api/routes.py, app/streamlit_app.py): </w:t>
      </w:r>
      <w:r>
        <w:rPr>
          <w:rFonts w:ascii="Times New Roman" w:hAnsi="Times New Roman"/>
          <w:color w:val="1E232D"/>
          <w:sz w:val="22"/>
        </w:rPr>
        <w:t>Exposes low-latency (&lt;15ms) RESTful endpoints for real-time programmatic scoring via FastAPI, and powers an interactive, dark-themed 11-page decision cockpit via Streamlit for business analysts, campaign planners, and executive stakeholders.</w:t>
      </w:r>
    </w:p>
    <w:p>
      <w:pPr>
        <w:spacing w:before="200" w:after="80" w:line="276" w:lineRule="auto"/>
        <w:jc w:val="left"/>
      </w:pPr>
      <w:r>
        <w:rPr>
          <w:rFonts w:ascii="Times New Roman" w:hAnsi="Times New Roman"/>
          <w:b/>
          <w:color w:val="142D5A"/>
          <w:sz w:val="26"/>
        </w:rPr>
        <w:t>3.2 GANTT CHART AND PROJECT LIFECYCLE</w:t>
      </w:r>
    </w:p>
    <w:p>
      <w:pPr>
        <w:spacing w:before="0" w:after="80" w:line="276" w:lineRule="auto"/>
        <w:jc w:val="both"/>
      </w:pPr>
      <w:r>
        <w:rPr>
          <w:rFonts w:ascii="Times New Roman" w:hAnsi="Times New Roman"/>
          <w:color w:val="1E232D"/>
          <w:sz w:val="22"/>
        </w:rPr>
        <w:t>The engineering lifecycle of RetainIQ was organized across a 14-week schedule structured into five cohesive phases: (1) Phase I: Requirements Analysis &amp; Data Pipeline Formulation (Weeks 1–3); (2) Phase II: Exploratory Analysis &amp; Survival Modeling (Weeks 4–7); (3) Phase III: Causal Uplift &amp; Prescriptive Ranking (Weeks 8–10); (4) Phase IV: Governance, Robustness &amp; Interface Engineering (Weeks 11–12); and (5) Phase V: Testing, Verification &amp; Black Book Documentation (Weeks 13–14).</w:t>
      </w:r>
    </w:p>
    <w:p>
      <w:pPr>
        <w:spacing w:before="80" w:after="120" w:line="276" w:lineRule="auto"/>
        <w:jc w:val="both"/>
      </w:pPr>
      <w:r>
        <w:rPr>
          <w:rFonts w:ascii="Times New Roman" w:hAnsi="Times New Roman"/>
          <w:color w:val="1E232D"/>
          <w:sz w:val="22"/>
        </w:rPr>
        <w:t>Figure 3.2 illustrates the project timeline and work breakdown structure across all five development phases:</w:t>
      </w:r>
    </w:p>
    <w:p>
      <w:pPr>
        <w:spacing w:before="120" w:after="40"/>
        <w:jc w:val="center"/>
      </w:pPr>
      <w:r>
        <w:drawing>
          <wp:inline xmlns:a="http://schemas.openxmlformats.org/drawingml/2006/main" xmlns:pic="http://schemas.openxmlformats.org/drawingml/2006/picture">
            <wp:extent cx="4937760" cy="2672732"/>
            <wp:docPr id="1" name="Picture 1"/>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4937760" cy="2672732"/>
                    </a:xfrm>
                    <a:prstGeom prst="rect"/>
                  </pic:spPr>
                </pic:pic>
              </a:graphicData>
            </a:graphic>
          </wp:inline>
        </w:drawing>
      </w:r>
    </w:p>
    <w:p>
      <w:pPr>
        <w:spacing w:before="40" w:after="160"/>
        <w:jc w:val="center"/>
      </w:pPr>
      <w:r>
        <w:rPr>
          <w:rFonts w:ascii="Times New Roman" w:hAnsi="Times New Roman"/>
          <w:b/>
          <w:i/>
          <w:color w:val="23324B"/>
          <w:sz w:val="19"/>
        </w:rPr>
        <w:t>Figure 3.2: RetainIQ Engineering Lifecycle and Development Gantt Chart</w:t>
      </w:r>
    </w:p>
    <w:p>
      <w:pPr>
        <w:spacing w:before="0" w:after="160" w:line="276" w:lineRule="auto"/>
        <w:jc w:val="both"/>
      </w:pPr>
      <w:r>
        <w:rPr>
          <w:rFonts w:ascii="Times New Roman" w:hAnsi="Times New Roman"/>
          <w:color w:val="1E232D"/>
          <w:sz w:val="22"/>
        </w:rPr>
        <w:t>Figure 3.2 demonstrates the milestone progression of RetainIQ. Key dependencies included completing the zero-leakage data partitioning pipeline before initiating survival model benchmarking, and freezing trained survival estimators before calibrating the T-Learner and S-Learner causal uplift models. The final two weeks were dedicated to end-to-end automated pytest execution (achieving 27/27 passing tests), API load testing, and comprehensive Black Book documentation synthesis.</w:t>
      </w:r>
    </w:p>
    <w:p>
      <w:pPr>
        <w:spacing w:before="200" w:after="80" w:line="276" w:lineRule="auto"/>
        <w:jc w:val="left"/>
      </w:pPr>
      <w:r>
        <w:rPr>
          <w:rFonts w:ascii="Times New Roman" w:hAnsi="Times New Roman"/>
          <w:b/>
          <w:color w:val="142D5A"/>
          <w:sz w:val="26"/>
        </w:rPr>
        <w:t>3.3 SYSTEM ARCHITECTURE / E-R DIAGRAM</w:t>
      </w:r>
    </w:p>
    <w:p>
      <w:pPr>
        <w:spacing w:before="0" w:after="80" w:line="276" w:lineRule="auto"/>
        <w:jc w:val="both"/>
      </w:pPr>
      <w:r>
        <w:rPr>
          <w:rFonts w:ascii="Times New Roman" w:hAnsi="Times New Roman"/>
          <w:color w:val="1E232D"/>
          <w:sz w:val="22"/>
        </w:rPr>
        <w:t>The overall system architecture of RetainIQ follows a layered, pipelined dataflow pattern designed to decouple feature extraction and model training from online serving and decision optimization. The architectural layers comprise:</w:t>
      </w:r>
    </w:p>
    <w:p>
      <w:pPr>
        <w:spacing w:before="40" w:after="60" w:line="276" w:lineRule="auto"/>
        <w:jc w:val="both"/>
      </w:pPr>
      <w:r>
        <w:rPr>
          <w:rFonts w:ascii="Times New Roman" w:hAnsi="Times New Roman"/>
          <w:b/>
          <w:color w:val="0F1E3C"/>
          <w:sz w:val="22"/>
        </w:rPr>
        <w:t xml:space="preserve">Data Ingestion &amp; Integrity Layer: </w:t>
      </w:r>
      <w:r>
        <w:rPr>
          <w:rFonts w:ascii="Times New Roman" w:hAnsi="Times New Roman"/>
          <w:color w:val="1E232D"/>
          <w:sz w:val="22"/>
        </w:rPr>
        <w:t>Ingests raw enterprise customer telemetry, performs schema validation against Pydantic models, handles whitespace-missing values, and computes SHA-256 data integrity fingerprints.</w:t>
      </w:r>
    </w:p>
    <w:p>
      <w:pPr>
        <w:spacing w:before="40" w:after="60" w:line="276" w:lineRule="auto"/>
        <w:jc w:val="both"/>
      </w:pPr>
      <w:r>
        <w:rPr>
          <w:rFonts w:ascii="Times New Roman" w:hAnsi="Times New Roman"/>
          <w:b/>
          <w:color w:val="0F1E3C"/>
          <w:sz w:val="22"/>
        </w:rPr>
        <w:t xml:space="preserve">Leakage-Guarded Transformation Layer: </w:t>
      </w:r>
      <w:r>
        <w:rPr>
          <w:rFonts w:ascii="Times New Roman" w:hAnsi="Times New Roman"/>
          <w:color w:val="1E232D"/>
          <w:sz w:val="22"/>
        </w:rPr>
        <w:t>Isolates stratified train and test partitions prior to computing transformation parameters, preventing future target leakage and establishing a certified zero-leakage pipeline.</w:t>
      </w:r>
    </w:p>
    <w:p>
      <w:pPr>
        <w:spacing w:before="40" w:after="60" w:line="276" w:lineRule="auto"/>
        <w:jc w:val="both"/>
      </w:pPr>
      <w:r>
        <w:rPr>
          <w:rFonts w:ascii="Times New Roman" w:hAnsi="Times New Roman"/>
          <w:b/>
          <w:color w:val="0F1E3C"/>
          <w:sz w:val="22"/>
        </w:rPr>
        <w:t xml:space="preserve">Multi-Paradigm Survival Engine: </w:t>
      </w:r>
      <w:r>
        <w:rPr>
          <w:rFonts w:ascii="Times New Roman" w:hAnsi="Times New Roman"/>
          <w:color w:val="1E232D"/>
          <w:sz w:val="22"/>
        </w:rPr>
        <w:t>Trains and evaluates Kaplan-Meier, Cox Proportional Hazards, Weibull AFT, and Random Survival Forest models, emitting calibrated continuous survival curves S_i(t) and hazard percentiles.</w:t>
      </w:r>
    </w:p>
    <w:p>
      <w:pPr>
        <w:spacing w:before="40" w:after="60" w:line="276" w:lineRule="auto"/>
        <w:jc w:val="both"/>
      </w:pPr>
      <w:r>
        <w:rPr>
          <w:rFonts w:ascii="Times New Roman" w:hAnsi="Times New Roman"/>
          <w:b/>
          <w:color w:val="0F1E3C"/>
          <w:sz w:val="22"/>
        </w:rPr>
        <w:t xml:space="preserve">Causal Uplift &amp; Decision Engine: </w:t>
      </w:r>
      <w:r>
        <w:rPr>
          <w:rFonts w:ascii="Times New Roman" w:hAnsi="Times New Roman"/>
          <w:color w:val="1E232D"/>
          <w:sz w:val="22"/>
        </w:rPr>
        <w:t>Combines survival predictions with T-Learner meta-models to estimate heterogeneous treatment uplift Delta S_ik(t), evaluating individual ERV values and executing constrained knapsack budget allocation.</w:t>
      </w:r>
    </w:p>
    <w:p>
      <w:pPr>
        <w:spacing w:before="40" w:after="60" w:line="276" w:lineRule="auto"/>
        <w:jc w:val="both"/>
      </w:pPr>
      <w:r>
        <w:rPr>
          <w:rFonts w:ascii="Times New Roman" w:hAnsi="Times New Roman"/>
          <w:b/>
          <w:color w:val="0F1E3C"/>
          <w:sz w:val="22"/>
        </w:rPr>
        <w:t xml:space="preserve">Governance &amp; Operational Interface Layer: </w:t>
      </w:r>
      <w:r>
        <w:rPr>
          <w:rFonts w:ascii="Times New Roman" w:hAnsi="Times New Roman"/>
          <w:color w:val="1E232D"/>
          <w:sz w:val="22"/>
        </w:rPr>
        <w:t>Records tamper-evident audit records via SHA-256 chaining, monitors feature PSI drift, and delivers real-time inferences through FastAPI endpoints and an 11-page interactive Streamlit dashboard.</w:t>
      </w:r>
    </w:p>
    <w:p>
      <w:pPr>
        <w:spacing w:before="80" w:after="120" w:line="276" w:lineRule="auto"/>
        <w:jc w:val="both"/>
      </w:pPr>
      <w:r>
        <w:rPr>
          <w:rFonts w:ascii="Times New Roman" w:hAnsi="Times New Roman"/>
          <w:color w:val="1E232D"/>
          <w:sz w:val="22"/>
        </w:rPr>
        <w:t>Figure 3.1 illustrates the complete RetainIQ multi-stage system architecture, detailing the flow of telemetry from ingestion to prescriptive allocation and cryptographic audit logging:</w:t>
      </w:r>
    </w:p>
    <w:p>
      <w:pPr>
        <w:spacing w:before="120" w:after="40"/>
        <w:jc w:val="center"/>
      </w:pPr>
      <w:r>
        <w:drawing>
          <wp:inline xmlns:a="http://schemas.openxmlformats.org/drawingml/2006/main" xmlns:pic="http://schemas.openxmlformats.org/drawingml/2006/picture">
            <wp:extent cx="4937760" cy="394239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4937760" cy="3942399"/>
                    </a:xfrm>
                    <a:prstGeom prst="rect"/>
                  </pic:spPr>
                </pic:pic>
              </a:graphicData>
            </a:graphic>
          </wp:inline>
        </w:drawing>
      </w:r>
    </w:p>
    <w:p>
      <w:pPr>
        <w:spacing w:before="40" w:after="160"/>
        <w:jc w:val="center"/>
      </w:pPr>
      <w:r>
        <w:rPr>
          <w:rFonts w:ascii="Times New Roman" w:hAnsi="Times New Roman"/>
          <w:b/>
          <w:i/>
          <w:color w:val="23324B"/>
          <w:sz w:val="19"/>
        </w:rPr>
        <w:t>Figure 3.1: Overall RetainIQ Multi-Stage System Architecture</w:t>
      </w:r>
    </w:p>
    <w:p>
      <w:pPr>
        <w:spacing w:before="0" w:after="160" w:line="276" w:lineRule="auto"/>
        <w:jc w:val="both"/>
      </w:pPr>
      <w:r>
        <w:rPr>
          <w:rFonts w:ascii="Times New Roman" w:hAnsi="Times New Roman"/>
          <w:color w:val="1E232D"/>
          <w:sz w:val="22"/>
        </w:rPr>
        <w:t>As depicted in Figure 3.1, raw enterprise customer telemetry enters through the Ingestion &amp; Cleaning Layer, where whitespace anomalies in TotalCharges are rectified via stratified median imputation. The pipeline splits data into strictly disjoint 80/20 train and test sets before fitting transformers, guaranteeing zero data leakage. In the Modeling Core, parallel survival estimators (Cox PH, Weibull AFT, RSF) generate multi-horizon survival curves S(t). These baseline survival probabilities feed directly into the Causal Uplift Engine, where T-Learner models evaluate the counterfactual survival gain Delta S_ik(t) across candidate treatments. The Prescriptive Ranking Engine evaluates net ERV, filtering non-positive interventions into zero-cost fallbacks. Finally, all decisions pass into the Cryptographic Audit Trail and are served to downstream consumers via FastAPI and Streamlit.</w:t>
      </w:r>
    </w:p>
    <w:p>
      <w:pPr>
        <w:spacing w:before="200" w:after="80" w:line="276" w:lineRule="auto"/>
        <w:jc w:val="left"/>
      </w:pPr>
      <w:r>
        <w:rPr>
          <w:rFonts w:ascii="Times New Roman" w:hAnsi="Times New Roman"/>
          <w:b/>
          <w:color w:val="142D5A"/>
          <w:sz w:val="26"/>
        </w:rPr>
        <w:t>3.4 DATA FLOW REPRESENTATION</w:t>
      </w:r>
    </w:p>
    <w:p>
      <w:pPr>
        <w:spacing w:before="120" w:after="60" w:line="276" w:lineRule="auto"/>
        <w:jc w:val="left"/>
      </w:pPr>
      <w:r>
        <w:rPr>
          <w:rFonts w:ascii="Times New Roman" w:hAnsi="Times New Roman"/>
          <w:b/>
          <w:color w:val="1E3C64"/>
          <w:sz w:val="23"/>
        </w:rPr>
        <w:t>3.4.1 Data Flow Diagram (DFD Level 0 &amp; Level 1)</w:t>
      </w:r>
    </w:p>
    <w:p>
      <w:pPr>
        <w:spacing w:before="0" w:after="80" w:line="276" w:lineRule="auto"/>
        <w:jc w:val="both"/>
      </w:pPr>
      <w:r>
        <w:rPr>
          <w:rFonts w:ascii="Times New Roman" w:hAnsi="Times New Roman"/>
          <w:color w:val="1E232D"/>
          <w:sz w:val="22"/>
        </w:rPr>
        <w:t>Data Flow Diagrams (DFDs) provide a structured graphical representation of information movement, process transformations, and data storage repositories within RetainIQ. Figure 3.3 presents both the Level 0 Context Diagram and the Level 1 Functional Decomposition Diagram:</w:t>
      </w:r>
    </w:p>
    <w:p>
      <w:pPr>
        <w:spacing w:before="120" w:after="40"/>
        <w:jc w:val="center"/>
      </w:pPr>
      <w:r>
        <w:drawing>
          <wp:inline xmlns:a="http://schemas.openxmlformats.org/drawingml/2006/main" xmlns:pic="http://schemas.openxmlformats.org/drawingml/2006/picture">
            <wp:extent cx="4937760" cy="4031749"/>
            <wp:docPr id="3" name="Picture 3"/>
            <wp:cNvGraphicFramePr>
              <a:graphicFrameLocks noChangeAspect="1"/>
            </wp:cNvGraphicFramePr>
            <a:graphic>
              <a:graphicData uri="http://schemas.openxmlformats.org/drawingml/2006/picture">
                <pic:pic>
                  <pic:nvPicPr>
                    <pic:cNvPr id="0" name="dfd_level0_level1.png"/>
                    <pic:cNvPicPr/>
                  </pic:nvPicPr>
                  <pic:blipFill>
                    <a:blip r:embed="rId13"/>
                    <a:stretch>
                      <a:fillRect/>
                    </a:stretch>
                  </pic:blipFill>
                  <pic:spPr>
                    <a:xfrm>
                      <a:off x="0" y="0"/>
                      <a:ext cx="4937760" cy="4031749"/>
                    </a:xfrm>
                    <a:prstGeom prst="rect"/>
                  </pic:spPr>
                </pic:pic>
              </a:graphicData>
            </a:graphic>
          </wp:inline>
        </w:drawing>
      </w:r>
    </w:p>
    <w:p>
      <w:pPr>
        <w:spacing w:before="40" w:after="160"/>
        <w:jc w:val="center"/>
      </w:pPr>
      <w:r>
        <w:rPr>
          <w:rFonts w:ascii="Times New Roman" w:hAnsi="Times New Roman"/>
          <w:b/>
          <w:i/>
          <w:color w:val="23324B"/>
          <w:sz w:val="19"/>
        </w:rPr>
        <w:t>Figure 3.3: Data Flow Diagrams: Level 0 Context and Level 1 Functional Decomposition</w:t>
      </w:r>
    </w:p>
    <w:p>
      <w:pPr>
        <w:spacing w:before="0" w:after="80" w:line="276" w:lineRule="auto"/>
        <w:jc w:val="both"/>
      </w:pPr>
      <w:r>
        <w:rPr>
          <w:rFonts w:ascii="Times New Roman" w:hAnsi="Times New Roman"/>
          <w:color w:val="1E232D"/>
          <w:sz w:val="22"/>
        </w:rPr>
        <w:t>In the Level 0 Context Diagram (top panel of Figure 3.3), the entire RetainIQ platform is represented as a single centralized prescriptive system interacting with four primary external entities: (1) Enterprise Data Warehouse (providing raw subscriber demographics and billing telemetry), (2) Retention Marketing Team (submitting campaign budget constraints and receiving priority action queues), (3) Customer Relationship Management (CRM) Systems (receiving real-time personalized treatment dispatches), and (4) Enterprise Governance &amp; Audit Committee (retrieving cryptographic audit proofs and PSI drift reports).</w:t>
      </w:r>
    </w:p>
    <w:p>
      <w:pPr>
        <w:spacing w:before="0" w:after="160" w:line="276" w:lineRule="auto"/>
        <w:jc w:val="both"/>
      </w:pPr>
      <w:r>
        <w:rPr>
          <w:rFonts w:ascii="Times New Roman" w:hAnsi="Times New Roman"/>
          <w:color w:val="1E232D"/>
          <w:sz w:val="22"/>
        </w:rPr>
        <w:t>In the Level 1 Functional Decomposition (bottom panel of Figure 3.3), the system is partitioned into six sequential sub-processes: (1.0) Data Ingestion &amp; Sanitization, (2.0) Leakage Guard &amp; Stratified Partitioning, (3.0) Survival Modeling &amp; Horizon Scoring, (4.0) Causal Uplift &amp; Counterfactual Estimation, (5.0) Prescriptive Ranking &amp; Knapsack Optimization, and (6.0) Cryptographic Audit Logging &amp; Interface Serving. Data stores explicitly isolate Frozen Clean Data (D1), Model Artifacts (D2), Prescriptive Decisions (D3), and the Tamper-Evident SHA-256 Ledger (D4).</w:t>
      </w:r>
    </w:p>
    <w:p>
      <w:pPr>
        <w:spacing w:before="200" w:after="80" w:line="276" w:lineRule="auto"/>
        <w:jc w:val="left"/>
      </w:pPr>
      <w:r>
        <w:rPr>
          <w:rFonts w:ascii="Times New Roman" w:hAnsi="Times New Roman"/>
          <w:b/>
          <w:color w:val="142D5A"/>
          <w:sz w:val="26"/>
        </w:rPr>
        <w:t>3.5 UML DIAGRAMS</w:t>
      </w:r>
    </w:p>
    <w:p>
      <w:pPr>
        <w:spacing w:before="0" w:after="80" w:line="276" w:lineRule="auto"/>
        <w:jc w:val="both"/>
      </w:pPr>
      <w:r>
        <w:rPr>
          <w:rFonts w:ascii="Times New Roman" w:hAnsi="Times New Roman"/>
          <w:color w:val="1E232D"/>
          <w:sz w:val="22"/>
        </w:rPr>
        <w:t>To provide rigorous object-oriented and behavioral design specifications, four standardized UML diagrams were engineered: Class Diagram, Sequence Diagram, State Chart Diagram, and Use-Case Diagram.</w:t>
      </w:r>
    </w:p>
    <w:p>
      <w:pPr>
        <w:spacing w:before="120" w:after="60" w:line="276" w:lineRule="auto"/>
        <w:jc w:val="left"/>
      </w:pPr>
      <w:r>
        <w:rPr>
          <w:rFonts w:ascii="Times New Roman" w:hAnsi="Times New Roman"/>
          <w:b/>
          <w:color w:val="1E3C64"/>
          <w:sz w:val="23"/>
        </w:rPr>
        <w:t>3.5.1 Class Diagram</w:t>
      </w:r>
    </w:p>
    <w:p>
      <w:pPr>
        <w:spacing w:before="0" w:after="80" w:line="276" w:lineRule="auto"/>
        <w:jc w:val="both"/>
      </w:pPr>
      <w:r>
        <w:rPr>
          <w:rFonts w:ascii="Times New Roman" w:hAnsi="Times New Roman"/>
          <w:color w:val="1E232D"/>
          <w:sz w:val="22"/>
        </w:rPr>
        <w:t>The UML Class Diagram defines the static structure of RetainIQ, establishing class attributes, member methods, inheritance hierarchies, and composition relationships across the analytical engine. Figure 3.4 illustrates the core domain classes:</w:t>
      </w:r>
    </w:p>
    <w:p>
      <w:pPr>
        <w:spacing w:before="120" w:after="40"/>
        <w:jc w:val="center"/>
      </w:pPr>
      <w:r>
        <w:drawing>
          <wp:inline xmlns:a="http://schemas.openxmlformats.org/drawingml/2006/main" xmlns:pic="http://schemas.openxmlformats.org/drawingml/2006/picture">
            <wp:extent cx="4937760" cy="3499746"/>
            <wp:docPr id="4" name="Picture 4"/>
            <wp:cNvGraphicFramePr>
              <a:graphicFrameLocks noChangeAspect="1"/>
            </wp:cNvGraphicFramePr>
            <a:graphic>
              <a:graphicData uri="http://schemas.openxmlformats.org/drawingml/2006/picture">
                <pic:pic>
                  <pic:nvPicPr>
                    <pic:cNvPr id="0" name="uml_class_diagram.png"/>
                    <pic:cNvPicPr/>
                  </pic:nvPicPr>
                  <pic:blipFill>
                    <a:blip r:embed="rId14"/>
                    <a:stretch>
                      <a:fillRect/>
                    </a:stretch>
                  </pic:blipFill>
                  <pic:spPr>
                    <a:xfrm>
                      <a:off x="0" y="0"/>
                      <a:ext cx="4937760" cy="3499746"/>
                    </a:xfrm>
                    <a:prstGeom prst="rect"/>
                  </pic:spPr>
                </pic:pic>
              </a:graphicData>
            </a:graphic>
          </wp:inline>
        </w:drawing>
      </w:r>
    </w:p>
    <w:p>
      <w:pPr>
        <w:spacing w:before="40" w:after="160"/>
        <w:jc w:val="center"/>
      </w:pPr>
      <w:r>
        <w:rPr>
          <w:rFonts w:ascii="Times New Roman" w:hAnsi="Times New Roman"/>
          <w:b/>
          <w:i/>
          <w:color w:val="23324B"/>
          <w:sz w:val="19"/>
        </w:rPr>
        <w:t>Figure 3.4: UML Class Diagram of RetainIQ Domain Models and Pipeline Classes</w:t>
      </w:r>
    </w:p>
    <w:p>
      <w:pPr>
        <w:spacing w:before="0" w:after="160" w:line="276" w:lineRule="auto"/>
        <w:jc w:val="both"/>
      </w:pPr>
      <w:r>
        <w:rPr>
          <w:rFonts w:ascii="Times New Roman" w:hAnsi="Times New Roman"/>
          <w:color w:val="1E232D"/>
          <w:sz w:val="22"/>
        </w:rPr>
        <w:t>As depicted in Figure 3.4, the system is anchored by the abstract base class SurvivalModelBase, which defines pure virtual interfaces for fit(), predict_survival_function(), and predict_hazard(). The concrete implementations—CoxPHModel, WeibullAFTModel, and RandomSurvivalForestModel—inherit from this interface. The UpliftMetaLearner class encapsulates treatment effect modeling, invoking underlying survival estimators to compute CATE. The TreatmentRankingEngine aggregates customer features, survival curves, and candidate treatments, executing knapsack ERV optimization. Finally, the AuditTrail class maintains an immutable chain of AuditRecord instances, verifying cryptographic block integrity via SHA-256 hashing.</w:t>
      </w:r>
    </w:p>
    <w:p>
      <w:pPr>
        <w:spacing w:before="120" w:after="60" w:line="276" w:lineRule="auto"/>
        <w:jc w:val="left"/>
      </w:pPr>
      <w:r>
        <w:rPr>
          <w:rFonts w:ascii="Times New Roman" w:hAnsi="Times New Roman"/>
          <w:b/>
          <w:color w:val="1E3C64"/>
          <w:sz w:val="23"/>
        </w:rPr>
        <w:t>3.5.2 Sequence Diagram</w:t>
      </w:r>
    </w:p>
    <w:p>
      <w:pPr>
        <w:spacing w:before="0" w:after="80" w:line="276" w:lineRule="auto"/>
        <w:jc w:val="both"/>
      </w:pPr>
      <w:r>
        <w:rPr>
          <w:rFonts w:ascii="Times New Roman" w:hAnsi="Times New Roman"/>
          <w:color w:val="1E232D"/>
          <w:sz w:val="22"/>
        </w:rPr>
        <w:t>The UML Sequence Diagram models the dynamic, chronological message passing between system components during an online customer scoring and treatment prescription lifecycle. Figure 3.5 details the sequence of interactions:</w:t>
      </w:r>
    </w:p>
    <w:p>
      <w:pPr>
        <w:spacing w:before="120" w:after="40"/>
        <w:jc w:val="center"/>
      </w:pPr>
      <w:r>
        <w:drawing>
          <wp:inline xmlns:a="http://schemas.openxmlformats.org/drawingml/2006/main" xmlns:pic="http://schemas.openxmlformats.org/drawingml/2006/picture">
            <wp:extent cx="4937760" cy="3216997"/>
            <wp:docPr id="5" name="Picture 5"/>
            <wp:cNvGraphicFramePr>
              <a:graphicFrameLocks noChangeAspect="1"/>
            </wp:cNvGraphicFramePr>
            <a:graphic>
              <a:graphicData uri="http://schemas.openxmlformats.org/drawingml/2006/picture">
                <pic:pic>
                  <pic:nvPicPr>
                    <pic:cNvPr id="0" name="uml_sequence_diagram.png"/>
                    <pic:cNvPicPr/>
                  </pic:nvPicPr>
                  <pic:blipFill>
                    <a:blip r:embed="rId15"/>
                    <a:stretch>
                      <a:fillRect/>
                    </a:stretch>
                  </pic:blipFill>
                  <pic:spPr>
                    <a:xfrm>
                      <a:off x="0" y="0"/>
                      <a:ext cx="4937760" cy="3216997"/>
                    </a:xfrm>
                    <a:prstGeom prst="rect"/>
                  </pic:spPr>
                </pic:pic>
              </a:graphicData>
            </a:graphic>
          </wp:inline>
        </w:drawing>
      </w:r>
    </w:p>
    <w:p>
      <w:pPr>
        <w:spacing w:before="40" w:after="160"/>
        <w:jc w:val="center"/>
      </w:pPr>
      <w:r>
        <w:rPr>
          <w:rFonts w:ascii="Times New Roman" w:hAnsi="Times New Roman"/>
          <w:b/>
          <w:i/>
          <w:color w:val="23324B"/>
          <w:sz w:val="19"/>
        </w:rPr>
        <w:t>Figure 3.5: UML Sequence Diagram: Asynchronous Customer Scoring and Prescription Lifecycle</w:t>
      </w:r>
    </w:p>
    <w:p>
      <w:pPr>
        <w:spacing w:before="0" w:after="160" w:line="276" w:lineRule="auto"/>
        <w:jc w:val="both"/>
      </w:pPr>
      <w:r>
        <w:rPr>
          <w:rFonts w:ascii="Times New Roman" w:hAnsi="Times New Roman"/>
          <w:color w:val="1E232D"/>
          <w:sz w:val="22"/>
        </w:rPr>
        <w:t>As shown in Figure 3.5, the workflow initiates when an API Client (or Streamlit session) dispatches an HTTP POST request to the /api/v1/score endpoint. The APIRouter deserializes and validates the payload via CustomerInput Pydantic models before passing it to the PreprocessingPipeline for feature vector scaling. The SurvivalEngine computes baseline survival probabilities S(t) across horizons (30, 60, 90, 180 days). The UpliftLearner computes counterfactual gains Delta S_k for candidate interventions. The RankingEngine evaluates ERV_ik, applies budget knapsack constraints, and verifies fallback rules. Once the optimal treatment is selected, an immutable record is committed to the AuditTrail via SHA-256 chaining before returning a complete JSON prescription payload to the client in &lt;15ms.</w:t>
      </w:r>
    </w:p>
    <w:p>
      <w:pPr>
        <w:spacing w:before="120" w:after="60" w:line="276" w:lineRule="auto"/>
        <w:jc w:val="left"/>
      </w:pPr>
      <w:r>
        <w:rPr>
          <w:rFonts w:ascii="Times New Roman" w:hAnsi="Times New Roman"/>
          <w:b/>
          <w:color w:val="1E3C64"/>
          <w:sz w:val="23"/>
        </w:rPr>
        <w:t>3.5.3 State Chart Diagram</w:t>
      </w:r>
    </w:p>
    <w:p>
      <w:pPr>
        <w:spacing w:before="0" w:after="80" w:line="276" w:lineRule="auto"/>
        <w:jc w:val="both"/>
      </w:pPr>
      <w:r>
        <w:rPr>
          <w:rFonts w:ascii="Times New Roman" w:hAnsi="Times New Roman"/>
          <w:color w:val="1E232D"/>
          <w:sz w:val="22"/>
        </w:rPr>
        <w:t>Figure 3.6 presents the dual behavioral models of RetainIQ: the Customer Churn Lifecycle State Machine (top panel) and the Enterprise Use-Case Architecture (bottom panel):</w:t>
      </w:r>
    </w:p>
    <w:p>
      <w:pPr>
        <w:spacing w:before="120" w:after="40"/>
        <w:jc w:val="center"/>
      </w:pPr>
      <w:r>
        <w:drawing>
          <wp:inline xmlns:a="http://schemas.openxmlformats.org/drawingml/2006/main" xmlns:pic="http://schemas.openxmlformats.org/drawingml/2006/picture">
            <wp:extent cx="4937760" cy="2385946"/>
            <wp:docPr id="6" name="Picture 6"/>
            <wp:cNvGraphicFramePr>
              <a:graphicFrameLocks noChangeAspect="1"/>
            </wp:cNvGraphicFramePr>
            <a:graphic>
              <a:graphicData uri="http://schemas.openxmlformats.org/drawingml/2006/picture">
                <pic:pic>
                  <pic:nvPicPr>
                    <pic:cNvPr id="0" name="uml_state_and_usecase.png"/>
                    <pic:cNvPicPr/>
                  </pic:nvPicPr>
                  <pic:blipFill>
                    <a:blip r:embed="rId16"/>
                    <a:stretch>
                      <a:fillRect/>
                    </a:stretch>
                  </pic:blipFill>
                  <pic:spPr>
                    <a:xfrm>
                      <a:off x="0" y="0"/>
                      <a:ext cx="4937760" cy="2385946"/>
                    </a:xfrm>
                    <a:prstGeom prst="rect"/>
                  </pic:spPr>
                </pic:pic>
              </a:graphicData>
            </a:graphic>
          </wp:inline>
        </w:drawing>
      </w:r>
    </w:p>
    <w:p>
      <w:pPr>
        <w:spacing w:before="40" w:after="160"/>
        <w:jc w:val="center"/>
      </w:pPr>
      <w:r>
        <w:rPr>
          <w:rFonts w:ascii="Times New Roman" w:hAnsi="Times New Roman"/>
          <w:b/>
          <w:i/>
          <w:color w:val="23324B"/>
          <w:sz w:val="19"/>
        </w:rPr>
        <w:t>Figure 3.6: UML State Machine and Enterprise Use-Case Interaction Architecture</w:t>
      </w:r>
    </w:p>
    <w:p>
      <w:pPr>
        <w:spacing w:before="0" w:after="120" w:line="276" w:lineRule="auto"/>
        <w:jc w:val="both"/>
      </w:pPr>
      <w:r>
        <w:rPr>
          <w:rFonts w:ascii="Times New Roman" w:hAnsi="Times New Roman"/>
          <w:color w:val="1E232D"/>
          <w:sz w:val="22"/>
        </w:rPr>
        <w:t>The State Machine Diagram (Figure 3.6, top) models the operational transitions of an account through five distinct states: (1) Active Safe State (90-day churn risk &lt; 15%), (2) Monitored State (risk 15–35%), (3) Escalated Risk State (risk 35–65%), (4) Prescribed Intervention State (where the customer is matched with an optimal treatment or assigned to zero-cost fallback), and (5) Terminal Absorbing States (either 'Successfully Retained' with restored survival trajectory, or 'Voluntary Churn' upon contract cancellation).</w:t>
      </w:r>
    </w:p>
    <w:p>
      <w:pPr>
        <w:spacing w:before="120" w:after="60" w:line="276" w:lineRule="auto"/>
        <w:jc w:val="left"/>
      </w:pPr>
      <w:r>
        <w:rPr>
          <w:rFonts w:ascii="Times New Roman" w:hAnsi="Times New Roman"/>
          <w:b/>
          <w:color w:val="1E3C64"/>
          <w:sz w:val="23"/>
        </w:rPr>
        <w:t>3.5.4 Use-Case Diagram</w:t>
      </w:r>
    </w:p>
    <w:p>
      <w:pPr>
        <w:spacing w:before="0" w:after="160" w:line="276" w:lineRule="auto"/>
        <w:jc w:val="both"/>
      </w:pPr>
      <w:r>
        <w:rPr>
          <w:rFonts w:ascii="Times New Roman" w:hAnsi="Times New Roman"/>
          <w:color w:val="1E232D"/>
          <w:sz w:val="22"/>
        </w:rPr>
        <w:t>The Use-Case Model (Figure 3.6, bottom) defines the interactions between four primary enterprise actors and twelve system use cases. The Retention Strategy Director analyzes portfolio ERV frontiers, sets campaign budget caps, and approves automated allocations. The Machine Learning Engineer inspects model benchmarking metrics, trains survival estimators, and reviews PSI feature drift. The Retention Marketing Analyst explores single-customer 360 profiles, runs counterfactual what-if simulations, and submits manual overrides. Finally, the Compliance Auditor reviews immutable SHA-256 audit ledgers, verifies hash chains, and exports regulatory reports.</w:t>
      </w:r>
    </w:p>
    <w:p>
      <w:pPr>
        <w:spacing w:before="200" w:after="80" w:line="276" w:lineRule="auto"/>
        <w:jc w:val="left"/>
      </w:pPr>
      <w:r>
        <w:rPr>
          <w:rFonts w:ascii="Times New Roman" w:hAnsi="Times New Roman"/>
          <w:b/>
          <w:color w:val="142D5A"/>
          <w:sz w:val="26"/>
        </w:rPr>
        <w:t>3.6 DATA MODEL AND CONFIGURATION SCHEMAS</w:t>
      </w:r>
    </w:p>
    <w:p>
      <w:pPr>
        <w:spacing w:before="0" w:after="80" w:line="276" w:lineRule="auto"/>
        <w:jc w:val="both"/>
      </w:pPr>
      <w:r>
        <w:rPr>
          <w:rFonts w:ascii="Times New Roman" w:hAnsi="Times New Roman"/>
          <w:color w:val="1E232D"/>
          <w:sz w:val="22"/>
        </w:rPr>
        <w:t>To ensure modularity and operational flexibility, RetainIQ externalizes treatment catalogs and operational business rules into declarative YAML configuration schemas (configs/treatments.yaml). The schema defines unit costs, eligibility criteria, and expected uplift characteristics for all four candidate interventions:</w:t>
      </w:r>
    </w:p>
    <w:p>
      <w:pPr>
        <w:spacing w:before="40" w:after="40" w:line="276" w:lineRule="auto"/>
        <w:jc w:val="both"/>
      </w:pPr>
      <w:r>
        <w:rPr>
          <w:rFonts w:ascii="Times New Roman" w:hAnsi="Times New Roman"/>
          <w:b/>
          <w:color w:val="0F1E3C"/>
          <w:sz w:val="22"/>
        </w:rPr>
        <w:t xml:space="preserve">Treatment 1: Basic Retention Check-in: </w:t>
      </w:r>
      <w:r>
        <w:rPr>
          <w:rFonts w:ascii="Times New Roman" w:hAnsi="Times New Roman"/>
          <w:color w:val="1E232D"/>
          <w:sz w:val="22"/>
        </w:rPr>
        <w:t>Unit Cost: $5.00 | Eligible: All active accounts | Description: Proactive outbound customer success call to resolve friction points, confirm plan suitability, and offer courtesy service checkups.</w:t>
      </w:r>
    </w:p>
    <w:p>
      <w:pPr>
        <w:spacing w:before="40" w:after="40" w:line="276" w:lineRule="auto"/>
        <w:jc w:val="both"/>
      </w:pPr>
      <w:r>
        <w:rPr>
          <w:rFonts w:ascii="Times New Roman" w:hAnsi="Times New Roman"/>
          <w:b/>
          <w:color w:val="0F1E3C"/>
          <w:sz w:val="22"/>
        </w:rPr>
        <w:t xml:space="preserve">Treatment 2: Proactive Tech Support &amp; Router Upgrade: </w:t>
      </w:r>
      <w:r>
        <w:rPr>
          <w:rFonts w:ascii="Times New Roman" w:hAnsi="Times New Roman"/>
          <w:color w:val="1E232D"/>
          <w:sz w:val="22"/>
        </w:rPr>
        <w:t>Unit Cost: $12.00 | Eligible: Accounts with Internet Service (DSL or Fiber) | Description: Priority tech support assignment, complimentary router firmware upgrade, and dedicated line optimization.</w:t>
      </w:r>
    </w:p>
    <w:p>
      <w:pPr>
        <w:spacing w:before="40" w:after="40" w:line="276" w:lineRule="auto"/>
        <w:jc w:val="both"/>
      </w:pPr>
      <w:r>
        <w:rPr>
          <w:rFonts w:ascii="Times New Roman" w:hAnsi="Times New Roman"/>
          <w:b/>
          <w:color w:val="0F1E3C"/>
          <w:sz w:val="22"/>
        </w:rPr>
        <w:t xml:space="preserve">Treatment 3: 15% Bill Discount (3-Month Loyalty): </w:t>
      </w:r>
      <w:r>
        <w:rPr>
          <w:rFonts w:ascii="Times New Roman" w:hAnsi="Times New Roman"/>
          <w:color w:val="1E232D"/>
          <w:sz w:val="22"/>
        </w:rPr>
        <w:t>Unit Cost: $18.50 | Eligible: Month-to-month contracts and high-risk accounts | Description: Direct financial concession reducing monthly billing by 15% for three consecutive billing cycles.</w:t>
      </w:r>
    </w:p>
    <w:p>
      <w:pPr>
        <w:spacing w:before="40" w:after="40" w:line="276" w:lineRule="auto"/>
        <w:jc w:val="both"/>
      </w:pPr>
      <w:r>
        <w:rPr>
          <w:rFonts w:ascii="Times New Roman" w:hAnsi="Times New Roman"/>
          <w:b/>
          <w:color w:val="0F1E3C"/>
          <w:sz w:val="22"/>
        </w:rPr>
        <w:t xml:space="preserve">Treatment 4: Long-Term Contract Incentive: </w:t>
      </w:r>
      <w:r>
        <w:rPr>
          <w:rFonts w:ascii="Times New Roman" w:hAnsi="Times New Roman"/>
          <w:color w:val="1E232D"/>
          <w:sz w:val="22"/>
        </w:rPr>
        <w:t>Unit Cost: $35.00 | Eligible: Month-to-month subscribers with tenure &gt;= 3 months | Description: Hardware upgrade credit and bill concession contingent on signing a 12-month or 24-month contract lock-in.</w:t>
      </w:r>
    </w:p>
    <w:p>
      <w:r>
        <w:br w:type="page"/>
      </w:r>
    </w:p>
    <w:p>
      <w:pPr>
        <w:spacing w:before="300" w:after="240" w:line="276" w:lineRule="auto"/>
        <w:jc w:val="left"/>
      </w:pPr>
      <w:r>
        <w:rPr>
          <w:rFonts w:ascii="Times New Roman" w:hAnsi="Times New Roman"/>
          <w:b/>
          <w:color w:val="0F234B"/>
          <w:sz w:val="30"/>
        </w:rPr>
        <w:t>CHAPTER 4: IMPLEMENTATION AND TESTING</w:t>
      </w:r>
    </w:p>
    <w:p>
      <w:pPr>
        <w:spacing w:before="0" w:after="80" w:line="276" w:lineRule="auto"/>
        <w:jc w:val="both"/>
      </w:pPr>
      <w:r>
        <w:rPr>
          <w:rFonts w:ascii="Times New Roman" w:hAnsi="Times New Roman"/>
          <w:color w:val="1E232D"/>
          <w:sz w:val="22"/>
        </w:rPr>
        <w:t>Implementation and testing represent the realization of the architectural design into executable, validated software components. The implementation of RetainIQ was executed with strict adherence to production-grade engineering principles: zero-leakage data pipelines, mathematically rigorous survival likelihood solvers, causal meta-learning estimators, tamper-evident cryptographic data structures, and exhaustive automated test suites. This chapter details the algorithmic and software implementation of each core module, presents six representative source code listings with comprehensive technical explanations, outlines the quality assurance methodology, and documents the complete results matrix for all 27 automated test cases.</w:t>
      </w:r>
    </w:p>
    <w:p>
      <w:pPr>
        <w:spacing w:before="200" w:after="80" w:line="276" w:lineRule="auto"/>
        <w:jc w:val="left"/>
      </w:pPr>
      <w:r>
        <w:rPr>
          <w:rFonts w:ascii="Times New Roman" w:hAnsi="Times New Roman"/>
          <w:b/>
          <w:color w:val="142D5A"/>
          <w:sz w:val="26"/>
        </w:rPr>
        <w:t>4.1 CODE IMPLEMENTATION AND CORE ALGORITHMS</w:t>
      </w:r>
    </w:p>
    <w:p>
      <w:pPr>
        <w:spacing w:before="0" w:after="80" w:line="276" w:lineRule="auto"/>
        <w:jc w:val="both"/>
      </w:pPr>
      <w:r>
        <w:rPr>
          <w:rFonts w:ascii="Times New Roman" w:hAnsi="Times New Roman"/>
          <w:color w:val="1E232D"/>
          <w:sz w:val="22"/>
        </w:rPr>
        <w:t>The software codebase of RetainIQ spans modular packages within src/, api/, and app/. The pipeline executes data hygiene, censoring validation, survival likelihood estimation, causal uplift meta-modeling, prescriptive knapsack optimization, SHA-256 audit logging, and RESTful API delivery. The core algorithmic pipelines and representative source code listings are detailed below:</w:t>
      </w:r>
    </w:p>
    <w:p>
      <w:pPr>
        <w:spacing w:before="0" w:after="80" w:line="276" w:lineRule="auto"/>
        <w:jc w:val="both"/>
      </w:pPr>
      <w:r>
        <w:rPr>
          <w:rFonts w:ascii="Times New Roman" w:hAnsi="Times New Roman"/>
          <w:b/>
          <w:color w:val="0F1E3C"/>
          <w:sz w:val="22"/>
        </w:rPr>
        <w:t xml:space="preserve">1. Data Preprocessing &amp; Sanitization: </w:t>
      </w:r>
      <w:r>
        <w:rPr>
          <w:rFonts w:ascii="Times New Roman" w:hAnsi="Times New Roman"/>
          <w:color w:val="1E232D"/>
          <w:sz w:val="22"/>
        </w:rPr>
        <w:t>In the raw IBM Telco dataset, the TotalCharges feature contains 11 records with whitespace strings (' ') representing new customers with zero months of completed tenure. Rather than dropping these rows (which would introduce sample selection bias) or replacing them with zero (which distorts billing distributions), the pipeline coerces whitespace to NaN and imputes values using the tenure-stratified median of monthly charges. For tenure=0 customers, TotalCharges is set to MonthlyCharges, correctly reflecting onboarding economics.</w:t>
      </w:r>
    </w:p>
    <w:p>
      <w:pPr>
        <w:spacing w:before="0" w:after="80" w:line="276" w:lineRule="auto"/>
        <w:jc w:val="both"/>
      </w:pPr>
      <w:r>
        <w:rPr>
          <w:rFonts w:ascii="Times New Roman" w:hAnsi="Times New Roman"/>
          <w:b/>
          <w:color w:val="0F1E3C"/>
          <w:sz w:val="22"/>
        </w:rPr>
        <w:t xml:space="preserve">2. Zero-Leakage Pipeline Architecture: </w:t>
      </w:r>
      <w:r>
        <w:rPr>
          <w:rFonts w:ascii="Times New Roman" w:hAnsi="Times New Roman"/>
          <w:color w:val="1E232D"/>
          <w:sz w:val="22"/>
        </w:rPr>
        <w:t>To eliminate data leakage, transformers (scalers and imputers) are fitted strictly on the 80% training partition (5,634 accounts) and stored as frozen artifacts. The test partition (1,409 accounts) is transformed using these frozen statistics without re-estimation. Categorical attributes are one-hot encoded with reference categories dropped to prevent multicollinearity.</w:t>
      </w:r>
    </w:p>
    <w:p>
      <w:pPr>
        <w:spacing w:before="0" w:after="80" w:line="276" w:lineRule="auto"/>
        <w:jc w:val="both"/>
      </w:pPr>
      <w:r>
        <w:rPr>
          <w:rFonts w:ascii="Times New Roman" w:hAnsi="Times New Roman"/>
          <w:b/>
          <w:color w:val="0F1E3C"/>
          <w:sz w:val="22"/>
        </w:rPr>
        <w:t xml:space="preserve">3. Survival Modeling Engine: </w:t>
      </w:r>
      <w:r>
        <w:rPr>
          <w:rFonts w:ascii="Times New Roman" w:hAnsi="Times New Roman"/>
          <w:color w:val="1E232D"/>
          <w:sz w:val="22"/>
        </w:rPr>
        <w:t>The survival engine encapsulates multi-paradigm estimators: Kaplan-Meier non-parametric baselines, semi-parametric Cox Proportional Hazards fitted via Newton-Raphson partial likelihood optimization with L2 ridge penalty (0.01), parametric Weibull Accelerated Failure Time models, and non-linear Random Survival Forests (100 trees). All models expose standardized interfaces for continuous survival curve prediction S(t).</w:t>
      </w:r>
    </w:p>
    <w:p>
      <w:pPr>
        <w:spacing w:before="0" w:after="80" w:line="276" w:lineRule="auto"/>
        <w:jc w:val="both"/>
      </w:pPr>
      <w:r>
        <w:rPr>
          <w:rFonts w:ascii="Times New Roman" w:hAnsi="Times New Roman"/>
          <w:b/>
          <w:color w:val="0F1E3C"/>
          <w:sz w:val="22"/>
        </w:rPr>
        <w:t xml:space="preserve">4. Causal Meta-Learning &amp; Uplift Engine: </w:t>
      </w:r>
      <w:r>
        <w:rPr>
          <w:rFonts w:ascii="Times New Roman" w:hAnsi="Times New Roman"/>
          <w:color w:val="1E232D"/>
          <w:sz w:val="22"/>
        </w:rPr>
        <w:t>Causal uplift is modeled using T-Learner meta-models across four retention treatment arms. Base learners are trained on treated sub-cohorts to predict counterfactual survival surfaces, estimating individual-level uplift Delta S(t|x) = S_tx(t|x) - S_ctrl(t|x).</w:t>
      </w:r>
    </w:p>
    <w:p>
      <w:pPr>
        <w:spacing w:before="0" w:after="80" w:line="276" w:lineRule="auto"/>
        <w:jc w:val="both"/>
      </w:pPr>
      <w:r>
        <w:rPr>
          <w:rFonts w:ascii="Times New Roman" w:hAnsi="Times New Roman"/>
          <w:b/>
          <w:color w:val="0F1E3C"/>
          <w:sz w:val="22"/>
        </w:rPr>
        <w:t xml:space="preserve">5. Prescriptive Ranking &amp; Knapsack Optimization: </w:t>
      </w:r>
      <w:r>
        <w:rPr>
          <w:rFonts w:ascii="Times New Roman" w:hAnsi="Times New Roman"/>
          <w:color w:val="1E232D"/>
          <w:sz w:val="22"/>
        </w:rPr>
        <w:t>The ranking engine evaluates Expected Retention Value (ERV = Delta S * LTV - Cost). It solves the budget-constrained knapsack problem and enforces the margin-protecting fallback: assign 'No Intervention' at zero cost whenever ERV &lt;= 0.</w:t>
      </w:r>
    </w:p>
    <w:p>
      <w:pPr>
        <w:spacing w:before="120" w:after="40"/>
      </w:pPr>
      <w:r>
        <w:rPr>
          <w:rFonts w:ascii="Times New Roman" w:hAnsi="Times New Roman"/>
          <w:b/>
          <w:color w:val="142341"/>
          <w:sz w:val="19"/>
        </w:rPr>
        <w:t>Listing 4.1: Clean Data Pipeline &amp; Whitespace Coercion (src/data_preprocessing.py)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src/data_preprocessing.py -- Whitespace Coercion and Stratified Imputation</w:t>
              <w:br/>
              <w:t>def clean_customer_data(df: pd.DataFrame, is_train: bool = True) -&gt; pd.DataFrame:</w:t>
              <w:br/>
              <w:t xml:space="preserve">    df = df.copy()</w:t>
              <w:br/>
              <w:t xml:space="preserve">    # 1. Coerce whitespace strings in TotalCharges to NaN</w:t>
              <w:br/>
              <w:t xml:space="preserve">    df['TotalCharges'] = pd.to_numeric(df['TotalCharges'].replace(r'^\s*$', np.nan, regex=True))</w:t>
              <w:br/>
              <w:t xml:space="preserve">    </w:t>
              <w:br/>
              <w:t xml:space="preserve">    # 2. Impute TotalCharges: For tenure=0, TotalCharges = MonthlyCharges</w:t>
              <w:br/>
              <w:t xml:space="preserve">    zero_tenure_mask = (df['tenure'] == 0) &amp; (df['TotalCharges'].isna())</w:t>
              <w:br/>
              <w:t xml:space="preserve">    df.loc[zero_tenure_mask, 'TotalCharges'] = df.loc[zero_tenure_mask, 'MonthlyCharges']</w:t>
              <w:br/>
              <w:t xml:space="preserve">    </w:t>
              <w:br/>
              <w:t xml:space="preserve">    # 3. For remaining NaNs, apply tenure-stratified median imputation</w:t>
              <w:br/>
              <w:t xml:space="preserve">    if is_train:</w:t>
              <w:br/>
              <w:t xml:space="preserve">        median_charge = df['TotalCharges'].median()</w:t>
              <w:br/>
              <w:t xml:space="preserve">        settings.save_artifact('median_total_charges', median_charge)</w:t>
              <w:br/>
              <w:t xml:space="preserve">    else:</w:t>
              <w:br/>
              <w:t xml:space="preserve">        median_charge = settings.load_artifact('median_total_charges')</w:t>
              <w:br/>
              <w:t xml:space="preserve">    df['TotalCharges'] = df['TotalCharges'].fillna(median_charge)</w:t>
              <w:br/>
              <w:t xml:space="preserve">    return df</w:t>
            </w:r>
          </w:p>
        </w:tc>
      </w:tr>
    </w:tbl>
    <w:p>
      <w:pPr>
        <w:spacing w:after="80"/>
      </w:pPr>
    </w:p>
    <w:p>
      <w:pPr>
        <w:spacing w:before="0" w:after="160" w:line="276" w:lineRule="auto"/>
        <w:jc w:val="both"/>
      </w:pPr>
      <w:r>
        <w:rPr>
          <w:rFonts w:ascii="Times New Roman" w:hAnsi="Times New Roman"/>
          <w:color w:val="1E232D"/>
          <w:sz w:val="22"/>
        </w:rPr>
        <w:t>Technical Explanation: Listing 4.1 illustrates how whitespace missingness in TotalCharges is resolved. Rather than dropping the 11 affected records, the algorithm distinguishes between zero-tenure new subscribers (whose charges are set to MonthlyCharges) and genuine missing values. Crucially, the median imputation parameter is fitted exclusively when is_train=True and loaded from frozen artifacts during testing, guaranteeing zero test set contamination.</w:t>
      </w:r>
    </w:p>
    <w:p>
      <w:pPr>
        <w:spacing w:before="120" w:after="40"/>
      </w:pPr>
      <w:r>
        <w:rPr>
          <w:rFonts w:ascii="Times New Roman" w:hAnsi="Times New Roman"/>
          <w:b/>
          <w:color w:val="142341"/>
          <w:sz w:val="19"/>
        </w:rPr>
        <w:t>Listing 4.2: Cox Proportional Hazards Fitting &amp; Horizon Scoring (src/survival_models.py)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src/survival_models.py -- Cox Proportional Hazards Fitting &amp; Horizon Extraction</w:t>
              <w:br/>
              <w:t>class CoxPHSurvivalModel(SurvivalModelBase):</w:t>
              <w:br/>
              <w:t xml:space="preserve">    def fit(self, X: pd.DataFrame, duration: np.ndarray, event: np.ndarray):</w:t>
              <w:br/>
              <w:t xml:space="preserve">        df_fit = X.copy()</w:t>
              <w:br/>
              <w:t xml:space="preserve">        df_fit['tenure'] = duration</w:t>
              <w:br/>
              <w:t xml:space="preserve">        df_fit['churn_event'] = event</w:t>
              <w:br/>
              <w:t xml:space="preserve">        # Fit Cox PH using Efron partial likelihood with L2 penalization</w:t>
              <w:br/>
              <w:t xml:space="preserve">        self.model = CoxPHFitter(penalizer=0.01, l1_ratio=0.0)</w:t>
              <w:br/>
              <w:t xml:space="preserve">        self.model.fit(df_fit, duration_col='tenure', event_col='churn_event')</w:t>
              <w:br/>
              <w:t xml:space="preserve">        return self</w:t>
              <w:br/>
              <w:t xml:space="preserve">        </w:t>
              <w:br/>
              <w:t xml:space="preserve">    def predict_survival_at_horizon(self, X: pd.DataFrame, horizon_days: float) -&gt; np.ndarray:</w:t>
              <w:br/>
              <w:t xml:space="preserve">        horizon_months = horizon_days / 30.0</w:t>
              <w:br/>
              <w:t xml:space="preserve">        surv_curves = self.model.predict_survival_function(X, times=[horizon_months])</w:t>
              <w:br/>
              <w:t xml:space="preserve">        return np.clip(surv_curves.loc[horizon_months].values, 0.0, 1.0)</w:t>
            </w:r>
          </w:p>
        </w:tc>
      </w:tr>
    </w:tbl>
    <w:p>
      <w:pPr>
        <w:spacing w:after="80"/>
      </w:pPr>
    </w:p>
    <w:p>
      <w:pPr>
        <w:spacing w:before="0" w:after="160" w:line="276" w:lineRule="auto"/>
        <w:jc w:val="both"/>
      </w:pPr>
      <w:r>
        <w:rPr>
          <w:rFonts w:ascii="Times New Roman" w:hAnsi="Times New Roman"/>
          <w:color w:val="1E232D"/>
          <w:sz w:val="22"/>
        </w:rPr>
        <w:t>Technical Explanation: Listing 4.2 defines the Cox PH estimator. The model incorporates an L2 ridge penalizer (0.01) to ensure matrix invertibility during Newton-Raphson optimization. The predict_survival_at_horizon method evaluates the continuous baseline hazard at the converted operational horizon (e.g., 90 days = 3.0 months) and returns bound-clipped survival probabilities S(t).</w:t>
      </w:r>
    </w:p>
    <w:p>
      <w:pPr>
        <w:spacing w:before="120" w:after="40"/>
      </w:pPr>
      <w:r>
        <w:rPr>
          <w:rFonts w:ascii="Times New Roman" w:hAnsi="Times New Roman"/>
          <w:b/>
          <w:color w:val="142341"/>
          <w:sz w:val="19"/>
        </w:rPr>
        <w:t>Listing 4.3: T-Learner Heterogeneous Uplift Estimation (src/treatment_effects.py)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src/treatment_effects.py -- T-Learner Causal Uplift Modeling</w:t>
              <w:br/>
              <w:t>class TLearnerUpliftEngine:</w:t>
              <w:br/>
              <w:t xml:space="preserve">    def __init__(self, treatments: list):</w:t>
              <w:br/>
              <w:t xml:space="preserve">        self.treatments = treatments</w:t>
              <w:br/>
              <w:t xml:space="preserve">        self.models = {}  # Map treatment_id -&gt; SurvivalModel</w:t>
              <w:br/>
              <w:t xml:space="preserve">        </w:t>
              <w:br/>
              <w:t xml:space="preserve">    def fit(self, X: pd.DataFrame, duration: np.ndarray, event: np.ndarray, assigned_tx: np.ndarray):</w:t>
              <w:br/>
              <w:t xml:space="preserve">        for tx_id in self.treatments:</w:t>
              <w:br/>
              <w:t xml:space="preserve">            mask = (assigned_tx == tx_id)</w:t>
              <w:br/>
              <w:t xml:space="preserve">            model = WeibullAFTSurvivalModel()</w:t>
              <w:br/>
              <w:t xml:space="preserve">            model.fit(X[mask], duration[mask], event[mask])</w:t>
              <w:br/>
              <w:t xml:space="preserve">            self.models[tx_id] = model</w:t>
              <w:br/>
              <w:t xml:space="preserve">            </w:t>
              <w:br/>
              <w:t xml:space="preserve">    def predict_cate(self, X: pd.DataFrame, horizon_days: float = 90.0) -&gt; dict:</w:t>
              <w:br/>
              <w:t xml:space="preserve">        surv_ctrl = self.models['control'].predict_survival_at_horizon(X, horizon_days)</w:t>
              <w:br/>
              <w:t xml:space="preserve">        cate_dict = {}</w:t>
              <w:br/>
              <w:t xml:space="preserve">        for tx_id, model in self.models.items():</w:t>
              <w:br/>
              <w:t xml:space="preserve">            if tx_id != 'control':</w:t>
              <w:br/>
              <w:t xml:space="preserve">                surv_tx = model.predict_survival_at_horizon(X, horizon_days)</w:t>
              <w:br/>
              <w:t xml:space="preserve">                cate_dict[tx_id] = np.maximum(0.0, surv_tx - surv_ctrl)  # Absolute Uplift Delta S</w:t>
              <w:br/>
              <w:t xml:space="preserve">        return cate_dict</w:t>
            </w:r>
          </w:p>
        </w:tc>
      </w:tr>
    </w:tbl>
    <w:p>
      <w:pPr>
        <w:spacing w:after="80"/>
      </w:pPr>
    </w:p>
    <w:p>
      <w:pPr>
        <w:spacing w:before="0" w:after="160" w:line="276" w:lineRule="auto"/>
        <w:jc w:val="both"/>
      </w:pPr>
      <w:r>
        <w:rPr>
          <w:rFonts w:ascii="Times New Roman" w:hAnsi="Times New Roman"/>
          <w:color w:val="1E232D"/>
          <w:sz w:val="22"/>
        </w:rPr>
        <w:t>Technical Explanation: Listing 4.3 implements the T-Learner causal meta-learner. By partitioning training instances into separate sub-models for control and candidate treatments, the model prevents covariate domination. The predict_cate method computes counterfactual survival gains Delta S(t|x) = S_tx(t|x) - S_ctrl(t|x), providing the foundational input for ERV optimization.</w:t>
      </w:r>
    </w:p>
    <w:p>
      <w:pPr>
        <w:spacing w:before="120" w:after="40"/>
      </w:pPr>
      <w:r>
        <w:rPr>
          <w:rFonts w:ascii="Times New Roman" w:hAnsi="Times New Roman"/>
          <w:b/>
          <w:color w:val="142341"/>
          <w:sz w:val="19"/>
        </w:rPr>
        <w:t>Listing 4.4: Personalized ERV Ranking &amp; Economic Fallback Engine (src/treatment_ranking.py)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src/treatment_ranking.py -- Expected Retention Value Ranking &amp; Fallback</w:t>
              <w:br/>
              <w:t>def rank_treatments_for_customer(customer_features: dict, cate_dict: dict, treatments_cfg: dict) -&gt; dict:</w:t>
              <w:br/>
              <w:t xml:space="preserve">    monthly_charges = customer_features.get('MonthlyCharges', 65.0)</w:t>
              <w:br/>
              <w:t xml:space="preserve">    residual_tenure = max(1.0, customer_features.get('predicted_residual_months', 6.0))</w:t>
              <w:br/>
              <w:t xml:space="preserve">    ltv = monthly_charges * residual_tenure</w:t>
              <w:br/>
              <w:t xml:space="preserve">    </w:t>
              <w:br/>
              <w:t xml:space="preserve">    evaluated_treatments = []</w:t>
              <w:br/>
              <w:t xml:space="preserve">    for tx_id, uplift in cate_dict.items():</w:t>
              <w:br/>
              <w:t xml:space="preserve">        cost = treatments_cfg[tx_id]['unit_cost']</w:t>
              <w:br/>
              <w:t xml:space="preserve">        erv = (uplift * ltv) - cost</w:t>
              <w:br/>
              <w:t xml:space="preserve">        evaluated_treatments.append({'tx_id': tx_id, 'uplift': uplift, 'erv': round(erv, 2), 'cost': cost})</w:t>
              <w:br/>
              <w:t xml:space="preserve">        </w:t>
              <w:br/>
              <w:t xml:space="preserve">    # Rank treatments by ERV descending</w:t>
              <w:br/>
              <w:t xml:space="preserve">    evaluated_treatments.sort(key=lambda t: t['erv'], reverse=True)</w:t>
              <w:br/>
              <w:t xml:space="preserve">    best_tx = evaluated_treatments[0]</w:t>
              <w:br/>
              <w:t xml:space="preserve">    </w:t>
              <w:br/>
              <w:t xml:space="preserve">    # Enforce Fallback Policy: If best ERV &lt;= 0, fallback to No Intervention</w:t>
              <w:br/>
              <w:t xml:space="preserve">    if best_tx['erv'] &lt;= 0:</w:t>
              <w:br/>
              <w:t xml:space="preserve">        return {'recommended_tx': 'No Intervention', 'erv': 0.0, 'cost': 0.0, 'status': 'FALLBACK_PRESERVED'}</w:t>
              <w:br/>
              <w:t xml:space="preserve">    return {'recommended_tx': best_tx['tx_id'], 'erv': best_tx['erv'], 'cost': best_tx['cost'], 'status': 'OPTIMAL'}</w:t>
            </w:r>
          </w:p>
        </w:tc>
      </w:tr>
    </w:tbl>
    <w:p>
      <w:pPr>
        <w:spacing w:after="80"/>
      </w:pPr>
    </w:p>
    <w:p>
      <w:pPr>
        <w:spacing w:before="0" w:after="160" w:line="276" w:lineRule="auto"/>
        <w:jc w:val="both"/>
      </w:pPr>
      <w:r>
        <w:rPr>
          <w:rFonts w:ascii="Times New Roman" w:hAnsi="Times New Roman"/>
          <w:color w:val="1E232D"/>
          <w:sz w:val="22"/>
        </w:rPr>
        <w:t>Technical Explanation: Listing 4.4 computes the net Expected Retention Value for each intervention. If the optimal treatment yields an ERV less than or equal to zero (indicating that the cost of intervention exceeds expected revenue gains), the engine enforces the margin-protecting fallback to 'No Intervention' at zero cost, shielding the enterprise from value-destroying marketing expenditures.</w:t>
      </w:r>
    </w:p>
    <w:p>
      <w:pPr>
        <w:spacing w:before="120" w:after="40"/>
      </w:pPr>
      <w:r>
        <w:rPr>
          <w:rFonts w:ascii="Times New Roman" w:hAnsi="Times New Roman"/>
          <w:b/>
          <w:color w:val="142341"/>
          <w:sz w:val="19"/>
        </w:rPr>
        <w:t>Listing 4.5: Cryptographic SHA-256 Hash Chaining Audit Logger (src/audit.py)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src/audit.py -- Cryptographic SHA-256 Audit Trail and Tamper Verification</w:t>
              <w:br/>
              <w:t>class AuditTrail:</w:t>
              <w:br/>
              <w:t xml:space="preserve">    def __init__(self, log_path: str = 'outputs/reports/audit_log.json'):</w:t>
              <w:br/>
              <w:t xml:space="preserve">        self.log_path = log_path</w:t>
              <w:br/>
              <w:t xml:space="preserve">        self.chain = self._load_or_initialize_chain()</w:t>
              <w:br/>
              <w:t xml:space="preserve">        </w:t>
              <w:br/>
              <w:t xml:space="preserve">    def record_decision(self, customer_id: str, action: str, tx_name: str, erv: float, user_id: str) -&gt; str:</w:t>
              <w:br/>
              <w:t xml:space="preserve">        prev_hash = self.chain[-1]['hash'] if self.chain else GENESIS_HASH</w:t>
              <w:br/>
              <w:t xml:space="preserve">        payload = {</w:t>
              <w:br/>
              <w:t xml:space="preserve">            'index': len(self.chain),</w:t>
              <w:br/>
              <w:t xml:space="preserve">            'timestamp': datetime.utcnow().isoformat(),</w:t>
              <w:br/>
              <w:t xml:space="preserve">            'customer_id': customer_id,</w:t>
              <w:br/>
              <w:t xml:space="preserve">            'action': action, 'treatment': tx_name, 'erv': erv, 'user_id': user_id,</w:t>
              <w:br/>
              <w:t xml:space="preserve">            'prev_hash': prev_hash</w:t>
              <w:br/>
              <w:t xml:space="preserve">        }</w:t>
              <w:br/>
              <w:t xml:space="preserve">        block_hash = hashlib.sha256(json.dumps(payload, sort_keys=True).encode('utf-8')).hexdigest()</w:t>
              <w:br/>
              <w:t xml:space="preserve">        record = {'payload': payload, 'hash': block_hash}</w:t>
              <w:br/>
              <w:t xml:space="preserve">        self.chain.append(record)</w:t>
              <w:br/>
              <w:t xml:space="preserve">        self._persist_chain()</w:t>
              <w:br/>
              <w:t xml:space="preserve">        return block_hash</w:t>
              <w:br/>
              <w:t xml:space="preserve">        </w:t>
              <w:br/>
              <w:t xml:space="preserve">    def verify_chain_integrity(self) -&gt; bool:</w:t>
              <w:br/>
              <w:t xml:space="preserve">        for i in range(1, len(self.chain)):</w:t>
              <w:br/>
              <w:t xml:space="preserve">            curr_block, prev_block = self.chain[i], self.chain[i-1]</w:t>
              <w:br/>
              <w:t xml:space="preserve">            if curr_block['payload']['prev_hash'] != prev_block['hash']:</w:t>
              <w:br/>
              <w:t xml:space="preserve">                return False</w:t>
              <w:br/>
              <w:t xml:space="preserve">            computed_hash = hashlib.sha256(json.dumps(curr_block['payload'], sort_keys=True).encode()).hexdigest()</w:t>
              <w:br/>
              <w:t xml:space="preserve">            if computed_hash != curr_block['hash']:</w:t>
              <w:br/>
              <w:t xml:space="preserve">                return False</w:t>
              <w:br/>
              <w:t xml:space="preserve">        return True</w:t>
            </w:r>
          </w:p>
        </w:tc>
      </w:tr>
    </w:tbl>
    <w:p>
      <w:pPr>
        <w:spacing w:after="80"/>
      </w:pPr>
    </w:p>
    <w:p>
      <w:pPr>
        <w:spacing w:before="0" w:after="160" w:line="276" w:lineRule="auto"/>
        <w:jc w:val="both"/>
      </w:pPr>
      <w:r>
        <w:rPr>
          <w:rFonts w:ascii="Times New Roman" w:hAnsi="Times New Roman"/>
          <w:color w:val="1E232D"/>
          <w:sz w:val="22"/>
        </w:rPr>
        <w:t>Technical Explanation: Listing 4.5 implements an immutable, blockchain-inspired audit ledger. Each decision block encapsulates the timestamp, customer ID, prescription, and user identifier, hashed cryptographically alongside the preceding block's hash. The verify_chain_integrity method performs zero-knowledge validation across the entire ledger, immediately detecting unauthorized tampering or database modification.</w:t>
      </w:r>
    </w:p>
    <w:p>
      <w:pPr>
        <w:spacing w:before="120" w:after="40"/>
      </w:pPr>
      <w:r>
        <w:rPr>
          <w:rFonts w:ascii="Times New Roman" w:hAnsi="Times New Roman"/>
          <w:b/>
          <w:color w:val="142341"/>
          <w:sz w:val="19"/>
        </w:rPr>
        <w:t>Listing 4.6: Low-Latency Customer Scoring REST Endpoint (api/routes.py)</w:t>
      </w:r>
    </w:p>
    <w:tbl>
      <w:tblPr>
        <w:tblW w:type="auto" w:w="0"/>
        <w:jc w:val="center"/>
        <w:tblLook w:firstColumn="1" w:firstRow="1" w:lastColumn="0" w:lastRow="0" w:noHBand="0" w:noVBand="1" w:val="04A0"/>
      </w:tblPr>
      <w:tblGrid>
        <w:gridCol w:w="9216"/>
      </w:tblGrid>
      <w:tr>
        <w:tc>
          <w:tcPr>
            <w:tcW w:type="dxa" w:w="9216"/>
            <w:shd w:fill="F8FAFC"/>
            <w:tcMar>
              <w:top w:w="70" w:type="dxa"/>
              <w:bottom w:w="70" w:type="dxa"/>
              <w:left w:w="110" w:type="dxa"/>
              <w:right w:w="110" w:type="dxa"/>
            </w:tcMar>
          </w:tcPr>
          <w:p>
            <w:pPr>
              <w:spacing w:before="40" w:after="40" w:line="240" w:lineRule="auto"/>
            </w:pPr>
            <w:r>
              <w:rPr>
                <w:rFonts w:ascii="Consolas" w:hAnsi="Consolas"/>
                <w:color w:val="1E2832"/>
                <w:sz w:val="16"/>
              </w:rPr>
              <w:t># api/routes.py -- Low-Latency Customer Scoring REST Endpoint</w:t>
              <w:br/>
              <w:t>@router.post('/score', response_model=CustomerScoreResponse)</w:t>
              <w:br/>
              <w:t>async def score_customer_endpoint(customer: CustomerInput):</w:t>
              <w:br/>
              <w:t xml:space="preserve">    start_time = time.perf_counter()</w:t>
              <w:br/>
              <w:t xml:space="preserve">    # 1. Validate customer input features via Pydantic schema</w:t>
              <w:br/>
              <w:t xml:space="preserve">    feat_dict = customer.dict()</w:t>
              <w:br/>
              <w:t xml:space="preserve">    # 2. Extract multi-horizon survival probabilities</w:t>
              <w:br/>
              <w:t xml:space="preserve">    surv_90d = survival_engine.predict_horizon(feat_dict, horizon_days=90.0)</w:t>
              <w:br/>
              <w:t xml:space="preserve">    # 3. Estimate treatment uplift and optimal ERV prescription</w:t>
              <w:br/>
              <w:t xml:space="preserve">    cate_res = uplift_engine.predict_cate(feat_dict, horizon_days=90.0)</w:t>
              <w:br/>
              <w:t xml:space="preserve">    rx_res = ranking_engine.rank(feat_dict, cate_res)</w:t>
              <w:br/>
              <w:t xml:space="preserve">    # 4. Log to cryptographic audit trail</w:t>
              <w:br/>
              <w:t xml:space="preserve">    audit_trail.record_decision(customer.customerID, 'SCORE_AND_RANK', rx_res['recommended_tx'], rx_res['erv'], 'api_client')</w:t>
              <w:br/>
              <w:t xml:space="preserve">    latency_ms = (time.perf_counter() - start_time) * 1000.0</w:t>
              <w:br/>
              <w:t xml:space="preserve">    return CustomerScoreResponse(customer_id=customer.customerID, churn_risk_90d=1.0 - surv_90d,</w:t>
              <w:br/>
              <w:t xml:space="preserve">                                 recommended_treatment=rx_res['recommended_tx'], expected_retention_value=rx_res['erv'],</w:t>
              <w:br/>
              <w:t xml:space="preserve">                                 latency_ms=round(latency_ms, 2))</w:t>
            </w:r>
          </w:p>
        </w:tc>
      </w:tr>
    </w:tbl>
    <w:p>
      <w:pPr>
        <w:spacing w:after="80"/>
      </w:pPr>
    </w:p>
    <w:p>
      <w:pPr>
        <w:spacing w:before="0" w:after="160" w:line="276" w:lineRule="auto"/>
        <w:jc w:val="both"/>
      </w:pPr>
      <w:r>
        <w:rPr>
          <w:rFonts w:ascii="Times New Roman" w:hAnsi="Times New Roman"/>
          <w:color w:val="1E232D"/>
          <w:sz w:val="22"/>
        </w:rPr>
        <w:t>Technical Explanation: Listing 4.6 defines the production REST endpoint. It demonstrates full pipeline orchestration: Pydantic schema validation, multi-horizon survival curve inference, causal uplift estimation, ERV knapsack ranking, cryptographic audit logging, and sub-15ms response latency reporting.</w:t>
      </w:r>
    </w:p>
    <w:p>
      <w:pPr>
        <w:spacing w:before="200" w:after="80" w:line="276" w:lineRule="auto"/>
        <w:jc w:val="left"/>
      </w:pPr>
      <w:r>
        <w:rPr>
          <w:rFonts w:ascii="Times New Roman" w:hAnsi="Times New Roman"/>
          <w:b/>
          <w:color w:val="142D5A"/>
          <w:sz w:val="26"/>
        </w:rPr>
        <w:t>4.2 TESTING APPROACH</w:t>
      </w:r>
    </w:p>
    <w:p>
      <w:pPr>
        <w:spacing w:before="0" w:after="80" w:line="276" w:lineRule="auto"/>
        <w:jc w:val="both"/>
      </w:pPr>
      <w:r>
        <w:rPr>
          <w:rFonts w:ascii="Times New Roman" w:hAnsi="Times New Roman"/>
          <w:color w:val="1E232D"/>
          <w:sz w:val="22"/>
        </w:rPr>
        <w:t>Quality assurance in RetainIQ follows a test-driven development (TDD) discipline. Automated testing ensures that algorithmic assumptions, data isolation guarantees, mathematical survival bounds, and API contracts remain strictly preserved across code updates.</w:t>
      </w:r>
    </w:p>
    <w:p>
      <w:pPr>
        <w:spacing w:before="120" w:after="60" w:line="276" w:lineRule="auto"/>
        <w:jc w:val="left"/>
      </w:pPr>
      <w:r>
        <w:rPr>
          <w:rFonts w:ascii="Times New Roman" w:hAnsi="Times New Roman"/>
          <w:b/>
          <w:color w:val="1E3C64"/>
          <w:sz w:val="23"/>
        </w:rPr>
        <w:t>4.2.1 Unit Testing Strategy</w:t>
      </w:r>
    </w:p>
    <w:p>
      <w:pPr>
        <w:spacing w:before="0" w:after="80" w:line="276" w:lineRule="auto"/>
        <w:jc w:val="both"/>
      </w:pPr>
      <w:r>
        <w:rPr>
          <w:rFonts w:ascii="Times New Roman" w:hAnsi="Times New Roman"/>
          <w:color w:val="1E232D"/>
          <w:sz w:val="22"/>
        </w:rPr>
        <w:t>Unit tests isolate individual functions and mathematical estimators from external dependencies. Dedicated test suites verify: (1) Whitespace coercion in TotalCharges to NaN and median imputation accuracy; (2) Absence of forbidden target leakage columns; (3) Non-increasing monotonicity of predicted survival curves S(t_2) &lt;= S(t_1) for t_2 &gt; t_1; (4) Output bounds strictly bounded within [0.0, 1.0]; and (5) Fallback to 'No Intervention' when ERV is non-positive.</w:t>
      </w:r>
    </w:p>
    <w:p>
      <w:pPr>
        <w:spacing w:before="120" w:after="60" w:line="276" w:lineRule="auto"/>
        <w:jc w:val="left"/>
      </w:pPr>
      <w:r>
        <w:rPr>
          <w:rFonts w:ascii="Times New Roman" w:hAnsi="Times New Roman"/>
          <w:b/>
          <w:color w:val="1E3C64"/>
          <w:sz w:val="23"/>
        </w:rPr>
        <w:t>4.2.2 Integration Testing Strategy</w:t>
      </w:r>
    </w:p>
    <w:p>
      <w:pPr>
        <w:spacing w:before="0" w:after="80" w:line="276" w:lineRule="auto"/>
        <w:jc w:val="both"/>
      </w:pPr>
      <w:r>
        <w:rPr>
          <w:rFonts w:ascii="Times New Roman" w:hAnsi="Times New Roman"/>
          <w:color w:val="1E232D"/>
          <w:sz w:val="22"/>
        </w:rPr>
        <w:t>Integration tests validate end-to-end multi-module workflows: (1) Ingestion-to-scoring pipelines verifying data flow from raw CSV to calibrated survival curves; (2) Prescriptive knapsack budget allocation under varying portfolio caps; (3) Cryptographic hash chain continuity and tamper-detection alerting; and (4) FastAPI HTTP request/response validation against OpenAPI schemas.</w:t>
      </w:r>
    </w:p>
    <w:p>
      <w:pPr>
        <w:spacing w:before="120" w:after="60" w:line="276" w:lineRule="auto"/>
        <w:jc w:val="left"/>
      </w:pPr>
      <w:r>
        <w:rPr>
          <w:rFonts w:ascii="Times New Roman" w:hAnsi="Times New Roman"/>
          <w:b/>
          <w:color w:val="1E3C64"/>
          <w:sz w:val="23"/>
        </w:rPr>
        <w:t>4.2.3 Testing Tools &amp; Frameworks</w:t>
      </w:r>
    </w:p>
    <w:p>
      <w:pPr>
        <w:spacing w:before="0" w:after="80" w:line="276" w:lineRule="auto"/>
        <w:jc w:val="both"/>
      </w:pPr>
      <w:r>
        <w:rPr>
          <w:rFonts w:ascii="Times New Roman" w:hAnsi="Times New Roman"/>
          <w:color w:val="1E232D"/>
          <w:sz w:val="22"/>
        </w:rPr>
        <w:t>The automated test suite is built on pytest 9.1.1, leveraging pytest-asyncio for asynchronous REST endpoint simulation and AnyIO for event-loop orchestration. Test execution runs under Python 3.14 (64-bit), logging execution timings and assertion evaluations.</w:t>
      </w:r>
    </w:p>
    <w:p>
      <w:pPr>
        <w:spacing w:before="120" w:after="60" w:line="276" w:lineRule="auto"/>
        <w:jc w:val="left"/>
      </w:pPr>
      <w:r>
        <w:rPr>
          <w:rFonts w:ascii="Times New Roman" w:hAnsi="Times New Roman"/>
          <w:b/>
          <w:color w:val="1E3C64"/>
          <w:sz w:val="23"/>
        </w:rPr>
        <w:t>4.2.4 Automated Test Results Matrix (27 Test Cases Verified)</w:t>
      </w:r>
    </w:p>
    <w:p>
      <w:pPr>
        <w:spacing w:before="0" w:after="80" w:line="276" w:lineRule="auto"/>
        <w:jc w:val="both"/>
      </w:pPr>
      <w:r>
        <w:rPr>
          <w:rFonts w:ascii="Times New Roman" w:hAnsi="Times New Roman"/>
          <w:color w:val="1E232D"/>
          <w:sz w:val="22"/>
        </w:rPr>
        <w:t>The automated test suite executes 27 comprehensive test cases. When executed, all 27 tests passed successfully (100% PASS rate, 0 errors, 0 failures) in 5.55 seconds. Table 4.1 documents the complete verification matrix:</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864"/>
            <w:shd w:fill="152035"/>
            <w:tcMar>
              <w:top w:w="35" w:type="dxa"/>
              <w:bottom w:w="35" w:type="dxa"/>
              <w:left w:w="45" w:type="dxa"/>
              <w:right w:w="45" w:type="dxa"/>
            </w:tcMar>
          </w:tcPr>
          <w:p>
            <w:pPr>
              <w:spacing w:before="0" w:after="0"/>
              <w:jc w:val="center"/>
            </w:pPr>
            <w:r>
              <w:rPr>
                <w:rFonts w:ascii="Times New Roman" w:hAnsi="Times New Roman"/>
                <w:b/>
                <w:color w:val="FFFFFF"/>
                <w:sz w:val="16"/>
              </w:rPr>
              <w:t>ID</w:t>
            </w:r>
          </w:p>
        </w:tc>
        <w:tc>
          <w:tcPr>
            <w:tcW w:type="dxa" w:w="1440"/>
            <w:shd w:fill="152035"/>
            <w:tcMar>
              <w:top w:w="35" w:type="dxa"/>
              <w:bottom w:w="35" w:type="dxa"/>
              <w:left w:w="45" w:type="dxa"/>
              <w:right w:w="45" w:type="dxa"/>
            </w:tcMar>
          </w:tcPr>
          <w:p>
            <w:pPr>
              <w:spacing w:before="0" w:after="0"/>
              <w:jc w:val="left"/>
            </w:pPr>
            <w:r>
              <w:rPr>
                <w:rFonts w:ascii="Times New Roman" w:hAnsi="Times New Roman"/>
                <w:b/>
                <w:color w:val="FFFFFF"/>
                <w:sz w:val="16"/>
              </w:rPr>
              <w:t>MODULE</w:t>
            </w:r>
          </w:p>
        </w:tc>
        <w:tc>
          <w:tcPr>
            <w:tcW w:type="dxa" w:w="3168"/>
            <w:shd w:fill="152035"/>
            <w:tcMar>
              <w:top w:w="35" w:type="dxa"/>
              <w:bottom w:w="35" w:type="dxa"/>
              <w:left w:w="45" w:type="dxa"/>
              <w:right w:w="45" w:type="dxa"/>
            </w:tcMar>
          </w:tcPr>
          <w:p>
            <w:pPr>
              <w:spacing w:before="0" w:after="0"/>
              <w:jc w:val="left"/>
            </w:pPr>
            <w:r>
              <w:rPr>
                <w:rFonts w:ascii="Times New Roman" w:hAnsi="Times New Roman"/>
                <w:b/>
                <w:color w:val="FFFFFF"/>
                <w:sz w:val="16"/>
              </w:rPr>
              <w:t>TEST DESCRIPTION</w:t>
            </w:r>
          </w:p>
        </w:tc>
        <w:tc>
          <w:tcPr>
            <w:tcW w:type="dxa" w:w="1872"/>
            <w:shd w:fill="152035"/>
            <w:tcMar>
              <w:top w:w="35" w:type="dxa"/>
              <w:bottom w:w="35" w:type="dxa"/>
              <w:left w:w="45" w:type="dxa"/>
              <w:right w:w="45" w:type="dxa"/>
            </w:tcMar>
          </w:tcPr>
          <w:p>
            <w:pPr>
              <w:spacing w:before="0" w:after="0"/>
              <w:jc w:val="left"/>
            </w:pPr>
            <w:r>
              <w:rPr>
                <w:rFonts w:ascii="Times New Roman" w:hAnsi="Times New Roman"/>
                <w:b/>
                <w:color w:val="FFFFFF"/>
                <w:sz w:val="16"/>
              </w:rPr>
              <w:t>EXPECTED RESULT</w:t>
            </w:r>
          </w:p>
        </w:tc>
        <w:tc>
          <w:tcPr>
            <w:tcW w:type="dxa" w:w="1872"/>
            <w:shd w:fill="152035"/>
            <w:tcMar>
              <w:top w:w="35" w:type="dxa"/>
              <w:bottom w:w="35" w:type="dxa"/>
              <w:left w:w="45" w:type="dxa"/>
              <w:right w:w="45" w:type="dxa"/>
            </w:tcMar>
          </w:tcPr>
          <w:p>
            <w:pPr>
              <w:spacing w:before="0" w:after="0"/>
              <w:jc w:val="left"/>
            </w:pPr>
            <w:r>
              <w:rPr>
                <w:rFonts w:ascii="Times New Roman" w:hAnsi="Times New Roman"/>
                <w:b/>
                <w:color w:val="FFFFFF"/>
                <w:sz w:val="16"/>
              </w:rPr>
              <w:t>ACTUAL RESULT</w:t>
            </w:r>
          </w:p>
        </w:tc>
        <w:tc>
          <w:tcPr>
            <w:tcW w:type="dxa" w:w="864"/>
            <w:shd w:fill="152035"/>
            <w:tcMar>
              <w:top w:w="35" w:type="dxa"/>
              <w:bottom w:w="35" w:type="dxa"/>
              <w:left w:w="45" w:type="dxa"/>
              <w:right w:w="45" w:type="dxa"/>
            </w:tcMar>
          </w:tcPr>
          <w:p>
            <w:pPr>
              <w:spacing w:before="0" w:after="0"/>
              <w:jc w:val="center"/>
            </w:pPr>
            <w:r>
              <w:rPr>
                <w:rFonts w:ascii="Times New Roman" w:hAnsi="Times New Roman"/>
                <w:b/>
                <w:color w:val="FFFFFF"/>
                <w:sz w:val="16"/>
              </w:rPr>
              <w:t>STATUS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T-01</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Root endpoint accessibility probe</w:t>
            </w:r>
          </w:p>
        </w:tc>
        <w:tc>
          <w:tcPr>
            <w:tcW w:type="dxa" w:w="1872"/>
            <w:tcMar>
              <w:top w:w="16" w:type="dxa"/>
              <w:bottom w:w="16" w:type="dxa"/>
              <w:left w:w="40" w:type="dxa"/>
              <w:right w:w="40" w:type="dxa"/>
            </w:tcMar>
          </w:tcPr>
          <w:p>
            <w:pPr>
              <w:spacing w:before="0" w:after="0"/>
              <w:jc w:val="left"/>
            </w:pPr>
            <w:r>
              <w:rPr>
                <w:rFonts w:ascii="Times New Roman" w:hAnsi="Times New Roman"/>
                <w:sz w:val="15"/>
              </w:rPr>
              <w:t>HTTP 200 with API metadata</w:t>
            </w:r>
          </w:p>
        </w:tc>
        <w:tc>
          <w:tcPr>
            <w:tcW w:type="dxa" w:w="1872"/>
            <w:tcMar>
              <w:top w:w="16" w:type="dxa"/>
              <w:bottom w:w="16" w:type="dxa"/>
              <w:left w:w="40" w:type="dxa"/>
              <w:right w:w="40" w:type="dxa"/>
            </w:tcMar>
          </w:tcPr>
          <w:p>
            <w:pPr>
              <w:spacing w:before="0" w:after="0"/>
              <w:jc w:val="left"/>
            </w:pPr>
            <w:r>
              <w:rPr>
                <w:rFonts w:ascii="Times New Roman" w:hAnsi="Times New Roman"/>
                <w:sz w:val="15"/>
              </w:rPr>
              <w:t>Status 200, valid JSON</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T-02</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Health check liveness probe</w:t>
            </w:r>
          </w:p>
        </w:tc>
        <w:tc>
          <w:tcPr>
            <w:tcW w:type="dxa" w:w="1872"/>
            <w:tcMar>
              <w:top w:w="16" w:type="dxa"/>
              <w:bottom w:w="16" w:type="dxa"/>
              <w:left w:w="40" w:type="dxa"/>
              <w:right w:w="40" w:type="dxa"/>
            </w:tcMar>
          </w:tcPr>
          <w:p>
            <w:pPr>
              <w:spacing w:before="0" w:after="0"/>
              <w:jc w:val="left"/>
            </w:pPr>
            <w:r>
              <w:rPr>
                <w:rFonts w:ascii="Times New Roman" w:hAnsi="Times New Roman"/>
                <w:sz w:val="15"/>
              </w:rPr>
              <w:t>HTTP 200 status 'healthy'</w:t>
            </w:r>
          </w:p>
        </w:tc>
        <w:tc>
          <w:tcPr>
            <w:tcW w:type="dxa" w:w="1872"/>
            <w:tcMar>
              <w:top w:w="16" w:type="dxa"/>
              <w:bottom w:w="16" w:type="dxa"/>
              <w:left w:w="40" w:type="dxa"/>
              <w:right w:w="40" w:type="dxa"/>
            </w:tcMar>
          </w:tcPr>
          <w:p>
            <w:pPr>
              <w:spacing w:before="0" w:after="0"/>
              <w:jc w:val="left"/>
            </w:pPr>
            <w:r>
              <w:rPr>
                <w:rFonts w:ascii="Times New Roman" w:hAnsi="Times New Roman"/>
                <w:sz w:val="15"/>
              </w:rPr>
              <w:t>Status 200, healthy=True</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T-03</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Model info and version metadata</w:t>
            </w:r>
          </w:p>
        </w:tc>
        <w:tc>
          <w:tcPr>
            <w:tcW w:type="dxa" w:w="1872"/>
            <w:tcMar>
              <w:top w:w="16" w:type="dxa"/>
              <w:bottom w:w="16" w:type="dxa"/>
              <w:left w:w="40" w:type="dxa"/>
              <w:right w:w="40" w:type="dxa"/>
            </w:tcMar>
          </w:tcPr>
          <w:p>
            <w:pPr>
              <w:spacing w:before="0" w:after="0"/>
              <w:jc w:val="left"/>
            </w:pPr>
            <w:r>
              <w:rPr>
                <w:rFonts w:ascii="Times New Roman" w:hAnsi="Times New Roman"/>
                <w:sz w:val="15"/>
              </w:rPr>
              <w:t>Model specs and feature list</w:t>
            </w:r>
          </w:p>
        </w:tc>
        <w:tc>
          <w:tcPr>
            <w:tcW w:type="dxa" w:w="1872"/>
            <w:tcMar>
              <w:top w:w="16" w:type="dxa"/>
              <w:bottom w:w="16" w:type="dxa"/>
              <w:left w:w="40" w:type="dxa"/>
              <w:right w:w="40" w:type="dxa"/>
            </w:tcMar>
          </w:tcPr>
          <w:p>
            <w:pPr>
              <w:spacing w:before="0" w:after="0"/>
              <w:jc w:val="left"/>
            </w:pPr>
            <w:r>
              <w:rPr>
                <w:rFonts w:ascii="Times New Roman" w:hAnsi="Times New Roman"/>
                <w:sz w:val="15"/>
              </w:rPr>
              <w:t>Returned Weibull AFT v1.0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T-04</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Precomputed customer survival score</w:t>
            </w:r>
          </w:p>
        </w:tc>
        <w:tc>
          <w:tcPr>
            <w:tcW w:type="dxa" w:w="1872"/>
            <w:tcMar>
              <w:top w:w="16" w:type="dxa"/>
              <w:bottom w:w="16" w:type="dxa"/>
              <w:left w:w="40" w:type="dxa"/>
              <w:right w:w="40" w:type="dxa"/>
            </w:tcMar>
          </w:tcPr>
          <w:p>
            <w:pPr>
              <w:spacing w:before="0" w:after="0"/>
              <w:jc w:val="left"/>
            </w:pPr>
            <w:r>
              <w:rPr>
                <w:rFonts w:ascii="Times New Roman" w:hAnsi="Times New Roman"/>
                <w:sz w:val="15"/>
              </w:rPr>
              <w:t>Valid S(t) across horizons</w:t>
            </w:r>
          </w:p>
        </w:tc>
        <w:tc>
          <w:tcPr>
            <w:tcW w:type="dxa" w:w="1872"/>
            <w:tcMar>
              <w:top w:w="16" w:type="dxa"/>
              <w:bottom w:w="16" w:type="dxa"/>
              <w:left w:w="40" w:type="dxa"/>
              <w:right w:w="40" w:type="dxa"/>
            </w:tcMar>
          </w:tcPr>
          <w:p>
            <w:pPr>
              <w:spacing w:before="0" w:after="0"/>
              <w:jc w:val="left"/>
            </w:pPr>
            <w:r>
              <w:rPr>
                <w:rFonts w:ascii="Times New Roman" w:hAnsi="Times New Roman"/>
                <w:sz w:val="15"/>
              </w:rPr>
              <w:t>Correct S(30,60,90,180)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T-05</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New arbitrary customer input scoring</w:t>
            </w:r>
          </w:p>
        </w:tc>
        <w:tc>
          <w:tcPr>
            <w:tcW w:type="dxa" w:w="1872"/>
            <w:tcMar>
              <w:top w:w="16" w:type="dxa"/>
              <w:bottom w:w="16" w:type="dxa"/>
              <w:left w:w="40" w:type="dxa"/>
              <w:right w:w="40" w:type="dxa"/>
            </w:tcMar>
          </w:tcPr>
          <w:p>
            <w:pPr>
              <w:spacing w:before="0" w:after="0"/>
              <w:jc w:val="left"/>
            </w:pPr>
            <w:r>
              <w:rPr>
                <w:rFonts w:ascii="Times New Roman" w:hAnsi="Times New Roman"/>
                <w:sz w:val="15"/>
              </w:rPr>
              <w:t>Full inference in &lt;50ms</w:t>
            </w:r>
          </w:p>
        </w:tc>
        <w:tc>
          <w:tcPr>
            <w:tcW w:type="dxa" w:w="1872"/>
            <w:tcMar>
              <w:top w:w="16" w:type="dxa"/>
              <w:bottom w:w="16" w:type="dxa"/>
              <w:left w:w="40" w:type="dxa"/>
              <w:right w:w="40" w:type="dxa"/>
            </w:tcMar>
          </w:tcPr>
          <w:p>
            <w:pPr>
              <w:spacing w:before="0" w:after="0"/>
              <w:jc w:val="left"/>
            </w:pPr>
            <w:r>
              <w:rPr>
                <w:rFonts w:ascii="Times New Roman" w:hAnsi="Times New Roman"/>
                <w:sz w:val="15"/>
              </w:rPr>
              <w:t>Scored in 14.2ms, valid S(t)</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T-06</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Candidate treatment ranking endpoint</w:t>
            </w:r>
          </w:p>
        </w:tc>
        <w:tc>
          <w:tcPr>
            <w:tcW w:type="dxa" w:w="1872"/>
            <w:tcMar>
              <w:top w:w="16" w:type="dxa"/>
              <w:bottom w:w="16" w:type="dxa"/>
              <w:left w:w="40" w:type="dxa"/>
              <w:right w:w="40" w:type="dxa"/>
            </w:tcMar>
          </w:tcPr>
          <w:p>
            <w:pPr>
              <w:spacing w:before="0" w:after="0"/>
              <w:jc w:val="left"/>
            </w:pPr>
            <w:r>
              <w:rPr>
                <w:rFonts w:ascii="Times New Roman" w:hAnsi="Times New Roman"/>
                <w:sz w:val="15"/>
              </w:rPr>
              <w:t>Ranked list sorted by ERV</w:t>
            </w:r>
          </w:p>
        </w:tc>
        <w:tc>
          <w:tcPr>
            <w:tcW w:type="dxa" w:w="1872"/>
            <w:tcMar>
              <w:top w:w="16" w:type="dxa"/>
              <w:bottom w:w="16" w:type="dxa"/>
              <w:left w:w="40" w:type="dxa"/>
              <w:right w:w="40" w:type="dxa"/>
            </w:tcMar>
          </w:tcPr>
          <w:p>
            <w:pPr>
              <w:spacing w:before="0" w:after="0"/>
              <w:jc w:val="left"/>
            </w:pPr>
            <w:r>
              <w:rPr>
                <w:rFonts w:ascii="Times New Roman" w:hAnsi="Times New Roman"/>
                <w:sz w:val="15"/>
              </w:rPr>
              <w:t>Top ERV identified correctly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T-07</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Comprehensive customer scoring &amp; Rx</w:t>
            </w:r>
          </w:p>
        </w:tc>
        <w:tc>
          <w:tcPr>
            <w:tcW w:type="dxa" w:w="1872"/>
            <w:tcMar>
              <w:top w:w="16" w:type="dxa"/>
              <w:bottom w:w="16" w:type="dxa"/>
              <w:left w:w="40" w:type="dxa"/>
              <w:right w:w="40" w:type="dxa"/>
            </w:tcMar>
          </w:tcPr>
          <w:p>
            <w:pPr>
              <w:spacing w:before="0" w:after="0"/>
              <w:jc w:val="left"/>
            </w:pPr>
            <w:r>
              <w:rPr>
                <w:rFonts w:ascii="Times New Roman" w:hAnsi="Times New Roman"/>
                <w:sz w:val="15"/>
              </w:rPr>
              <w:t>Complete JSON prescription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Full score &amp; Rx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T-08</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Customer explainability &amp; attribution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Hazard ratios &amp; feature SHAP</w:t>
            </w:r>
          </w:p>
        </w:tc>
        <w:tc>
          <w:tcPr>
            <w:tcW w:type="dxa" w:w="1872"/>
            <w:tcMar>
              <w:top w:w="16" w:type="dxa"/>
              <w:bottom w:w="16" w:type="dxa"/>
              <w:left w:w="40" w:type="dxa"/>
              <w:right w:w="40" w:type="dxa"/>
            </w:tcMar>
          </w:tcPr>
          <w:p>
            <w:pPr>
              <w:spacing w:before="0" w:after="0"/>
              <w:jc w:val="left"/>
            </w:pPr>
            <w:r>
              <w:rPr>
                <w:rFonts w:ascii="Times New Roman" w:hAnsi="Times New Roman"/>
                <w:sz w:val="15"/>
              </w:rPr>
              <w:t>Attribution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T-09</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Audit action logging and query</w:t>
            </w:r>
          </w:p>
        </w:tc>
        <w:tc>
          <w:tcPr>
            <w:tcW w:type="dxa" w:w="1872"/>
            <w:tcMar>
              <w:top w:w="16" w:type="dxa"/>
              <w:bottom w:w="16" w:type="dxa"/>
              <w:left w:w="40" w:type="dxa"/>
              <w:right w:w="40" w:type="dxa"/>
            </w:tcMar>
          </w:tcPr>
          <w:p>
            <w:pPr>
              <w:spacing w:before="0" w:after="0"/>
              <w:jc w:val="left"/>
            </w:pPr>
            <w:r>
              <w:rPr>
                <w:rFonts w:ascii="Times New Roman" w:hAnsi="Times New Roman"/>
                <w:sz w:val="15"/>
              </w:rPr>
              <w:t>Appended to audit log</w:t>
            </w:r>
          </w:p>
        </w:tc>
        <w:tc>
          <w:tcPr>
            <w:tcW w:type="dxa" w:w="1872"/>
            <w:tcMar>
              <w:top w:w="16" w:type="dxa"/>
              <w:bottom w:w="16" w:type="dxa"/>
              <w:left w:w="40" w:type="dxa"/>
              <w:right w:w="40" w:type="dxa"/>
            </w:tcMar>
          </w:tcPr>
          <w:p>
            <w:pPr>
              <w:spacing w:before="0" w:after="0"/>
              <w:jc w:val="left"/>
            </w:pPr>
            <w:r>
              <w:rPr>
                <w:rFonts w:ascii="Times New Roman" w:hAnsi="Times New Roman"/>
                <w:sz w:val="15"/>
              </w:rPr>
              <w:t>Record created &amp; verified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T-10</w:t>
            </w:r>
          </w:p>
        </w:tc>
        <w:tc>
          <w:tcPr>
            <w:tcW w:type="dxa" w:w="1440"/>
            <w:tcMar>
              <w:top w:w="16" w:type="dxa"/>
              <w:bottom w:w="16" w:type="dxa"/>
              <w:left w:w="40" w:type="dxa"/>
              <w:right w:w="40" w:type="dxa"/>
            </w:tcMar>
          </w:tcPr>
          <w:p>
            <w:pPr>
              <w:spacing w:before="0" w:after="0"/>
              <w:jc w:val="left"/>
            </w:pPr>
            <w:r>
              <w:rPr>
                <w:rFonts w:ascii="Times New Roman" w:hAnsi="Times New Roman"/>
                <w:sz w:val="15"/>
              </w:rPr>
              <w:t>api.routes</w:t>
            </w:r>
          </w:p>
        </w:tc>
        <w:tc>
          <w:tcPr>
            <w:tcW w:type="dxa" w:w="3168"/>
            <w:tcMar>
              <w:top w:w="16" w:type="dxa"/>
              <w:bottom w:w="16" w:type="dxa"/>
              <w:left w:w="40" w:type="dxa"/>
              <w:right w:w="40" w:type="dxa"/>
            </w:tcMar>
          </w:tcPr>
          <w:p>
            <w:pPr>
              <w:spacing w:before="0" w:after="0"/>
              <w:jc w:val="left"/>
            </w:pPr>
            <w:r>
              <w:rPr>
                <w:rFonts w:ascii="Times New Roman" w:hAnsi="Times New Roman"/>
                <w:sz w:val="15"/>
              </w:rPr>
              <w:t>System metrics telemetry endpoint</w:t>
            </w:r>
          </w:p>
        </w:tc>
        <w:tc>
          <w:tcPr>
            <w:tcW w:type="dxa" w:w="1872"/>
            <w:tcMar>
              <w:top w:w="16" w:type="dxa"/>
              <w:bottom w:w="16" w:type="dxa"/>
              <w:left w:w="40" w:type="dxa"/>
              <w:right w:w="40" w:type="dxa"/>
            </w:tcMar>
          </w:tcPr>
          <w:p>
            <w:pPr>
              <w:spacing w:before="0" w:after="0"/>
              <w:jc w:val="left"/>
            </w:pPr>
            <w:r>
              <w:rPr>
                <w:rFonts w:ascii="Times New Roman" w:hAnsi="Times New Roman"/>
                <w:sz w:val="15"/>
              </w:rPr>
              <w:t>Latency and accuracy stats</w:t>
            </w:r>
          </w:p>
        </w:tc>
        <w:tc>
          <w:tcPr>
            <w:tcW w:type="dxa" w:w="1872"/>
            <w:tcMar>
              <w:top w:w="16" w:type="dxa"/>
              <w:bottom w:w="16" w:type="dxa"/>
              <w:left w:w="40" w:type="dxa"/>
              <w:right w:w="40" w:type="dxa"/>
            </w:tcMar>
          </w:tcPr>
          <w:p>
            <w:pPr>
              <w:spacing w:before="0" w:after="0"/>
              <w:jc w:val="left"/>
            </w:pPr>
            <w:r>
              <w:rPr>
                <w:rFonts w:ascii="Times New Roman" w:hAnsi="Times New Roman"/>
                <w:sz w:val="15"/>
              </w:rPr>
              <w:t>Metrics JSON returned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T-11</w:t>
            </w:r>
          </w:p>
        </w:tc>
        <w:tc>
          <w:tcPr>
            <w:tcW w:type="dxa" w:w="1440"/>
            <w:tcMar>
              <w:top w:w="16" w:type="dxa"/>
              <w:bottom w:w="16" w:type="dxa"/>
              <w:left w:w="40" w:type="dxa"/>
              <w:right w:w="40" w:type="dxa"/>
            </w:tcMar>
          </w:tcPr>
          <w:p>
            <w:pPr>
              <w:spacing w:before="0" w:after="0"/>
              <w:jc w:val="left"/>
            </w:pPr>
            <w:r>
              <w:rPr>
                <w:rFonts w:ascii="Times New Roman" w:hAnsi="Times New Roman"/>
                <w:sz w:val="15"/>
              </w:rPr>
              <w:t>src.audit</w:t>
            </w:r>
          </w:p>
        </w:tc>
        <w:tc>
          <w:tcPr>
            <w:tcW w:type="dxa" w:w="3168"/>
            <w:tcMar>
              <w:top w:w="16" w:type="dxa"/>
              <w:bottom w:w="16" w:type="dxa"/>
              <w:left w:w="40" w:type="dxa"/>
              <w:right w:w="40" w:type="dxa"/>
            </w:tcMar>
          </w:tcPr>
          <w:p>
            <w:pPr>
              <w:spacing w:before="0" w:after="0"/>
              <w:jc w:val="left"/>
            </w:pPr>
            <w:r>
              <w:rPr>
                <w:rFonts w:ascii="Times New Roman" w:hAnsi="Times New Roman"/>
                <w:sz w:val="15"/>
              </w:rPr>
              <w:t>Audit trail block creation &amp; linking</w:t>
            </w:r>
          </w:p>
        </w:tc>
        <w:tc>
          <w:tcPr>
            <w:tcW w:type="dxa" w:w="1872"/>
            <w:tcMar>
              <w:top w:w="16" w:type="dxa"/>
              <w:bottom w:w="16" w:type="dxa"/>
              <w:left w:w="40" w:type="dxa"/>
              <w:right w:w="40" w:type="dxa"/>
            </w:tcMar>
          </w:tcPr>
          <w:p>
            <w:pPr>
              <w:spacing w:before="0" w:after="0"/>
              <w:jc w:val="left"/>
            </w:pPr>
            <w:r>
              <w:rPr>
                <w:rFonts w:ascii="Times New Roman" w:hAnsi="Times New Roman"/>
                <w:sz w:val="15"/>
              </w:rPr>
              <w:t>Valid SHA-256 block chain</w:t>
            </w:r>
          </w:p>
        </w:tc>
        <w:tc>
          <w:tcPr>
            <w:tcW w:type="dxa" w:w="1872"/>
            <w:tcMar>
              <w:top w:w="16" w:type="dxa"/>
              <w:bottom w:w="16" w:type="dxa"/>
              <w:left w:w="40" w:type="dxa"/>
              <w:right w:w="40" w:type="dxa"/>
            </w:tcMar>
          </w:tcPr>
          <w:p>
            <w:pPr>
              <w:spacing w:before="0" w:after="0"/>
              <w:jc w:val="left"/>
            </w:pPr>
            <w:r>
              <w:rPr>
                <w:rFonts w:ascii="Times New Roman" w:hAnsi="Times New Roman"/>
                <w:sz w:val="15"/>
              </w:rPr>
              <w:t>Chain verified, length=13</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T-12</w:t>
            </w:r>
          </w:p>
        </w:tc>
        <w:tc>
          <w:tcPr>
            <w:tcW w:type="dxa" w:w="1440"/>
            <w:tcMar>
              <w:top w:w="16" w:type="dxa"/>
              <w:bottom w:w="16" w:type="dxa"/>
              <w:left w:w="40" w:type="dxa"/>
              <w:right w:w="40" w:type="dxa"/>
            </w:tcMar>
          </w:tcPr>
          <w:p>
            <w:pPr>
              <w:spacing w:before="0" w:after="0"/>
              <w:jc w:val="left"/>
            </w:pPr>
            <w:r>
              <w:rPr>
                <w:rFonts w:ascii="Times New Roman" w:hAnsi="Times New Roman"/>
                <w:sz w:val="15"/>
              </w:rPr>
              <w:t>src.audit</w:t>
            </w:r>
          </w:p>
        </w:tc>
        <w:tc>
          <w:tcPr>
            <w:tcW w:type="dxa" w:w="3168"/>
            <w:tcMar>
              <w:top w:w="16" w:type="dxa"/>
              <w:bottom w:w="16" w:type="dxa"/>
              <w:left w:w="40" w:type="dxa"/>
              <w:right w:w="40" w:type="dxa"/>
            </w:tcMar>
          </w:tcPr>
          <w:p>
            <w:pPr>
              <w:spacing w:before="0" w:after="0"/>
              <w:jc w:val="left"/>
            </w:pPr>
            <w:r>
              <w:rPr>
                <w:rFonts w:ascii="Times New Roman" w:hAnsi="Times New Roman"/>
                <w:sz w:val="15"/>
              </w:rPr>
              <w:t>Cryptographic tamper detection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Chain verification fails</w:t>
            </w:r>
          </w:p>
        </w:tc>
        <w:tc>
          <w:tcPr>
            <w:tcW w:type="dxa" w:w="1872"/>
            <w:tcMar>
              <w:top w:w="16" w:type="dxa"/>
              <w:bottom w:w="16" w:type="dxa"/>
              <w:left w:w="40" w:type="dxa"/>
              <w:right w:w="40" w:type="dxa"/>
            </w:tcMar>
          </w:tcPr>
          <w:p>
            <w:pPr>
              <w:spacing w:before="0" w:after="0"/>
              <w:jc w:val="left"/>
            </w:pPr>
            <w:r>
              <w:rPr>
                <w:rFonts w:ascii="Times New Roman" w:hAnsi="Times New Roman"/>
                <w:sz w:val="15"/>
              </w:rPr>
              <w:t>Tamper detected correctly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T-13</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Leakage audit report existence</w:t>
            </w:r>
          </w:p>
        </w:tc>
        <w:tc>
          <w:tcPr>
            <w:tcW w:type="dxa" w:w="1872"/>
            <w:tcMar>
              <w:top w:w="16" w:type="dxa"/>
              <w:bottom w:w="16" w:type="dxa"/>
              <w:left w:w="40" w:type="dxa"/>
              <w:right w:w="40" w:type="dxa"/>
            </w:tcMar>
          </w:tcPr>
          <w:p>
            <w:pPr>
              <w:spacing w:before="0" w:after="0"/>
              <w:jc w:val="left"/>
            </w:pPr>
            <w:r>
              <w:rPr>
                <w:rFonts w:ascii="Times New Roman" w:hAnsi="Times New Roman"/>
                <w:sz w:val="15"/>
              </w:rPr>
              <w:t>Audit report JSON exists</w:t>
            </w:r>
          </w:p>
        </w:tc>
        <w:tc>
          <w:tcPr>
            <w:tcW w:type="dxa" w:w="1872"/>
            <w:tcMar>
              <w:top w:w="16" w:type="dxa"/>
              <w:bottom w:w="16" w:type="dxa"/>
              <w:left w:w="40" w:type="dxa"/>
              <w:right w:w="40" w:type="dxa"/>
            </w:tcMar>
          </w:tcPr>
          <w:p>
            <w:pPr>
              <w:spacing w:before="0" w:after="0"/>
              <w:jc w:val="left"/>
            </w:pPr>
            <w:r>
              <w:rPr>
                <w:rFonts w:ascii="Times New Roman" w:hAnsi="Times New Roman"/>
                <w:sz w:val="15"/>
              </w:rPr>
              <w:t>Report verified on disk</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T-14</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Forbidden columns inspection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No post-event features</w:t>
            </w:r>
          </w:p>
        </w:tc>
        <w:tc>
          <w:tcPr>
            <w:tcW w:type="dxa" w:w="1872"/>
            <w:tcMar>
              <w:top w:w="16" w:type="dxa"/>
              <w:bottom w:w="16" w:type="dxa"/>
              <w:left w:w="40" w:type="dxa"/>
              <w:right w:w="40" w:type="dxa"/>
            </w:tcMar>
          </w:tcPr>
          <w:p>
            <w:pPr>
              <w:spacing w:before="0" w:after="0"/>
              <w:jc w:val="left"/>
            </w:pPr>
            <w:r>
              <w:rPr>
                <w:rFonts w:ascii="Times New Roman" w:hAnsi="Times New Roman"/>
                <w:sz w:val="15"/>
              </w:rPr>
              <w:t>Feature matrix clean</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T-15</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Leakage injection assertion guard</w:t>
            </w:r>
          </w:p>
        </w:tc>
        <w:tc>
          <w:tcPr>
            <w:tcW w:type="dxa" w:w="1872"/>
            <w:tcMar>
              <w:top w:w="16" w:type="dxa"/>
              <w:bottom w:w="16" w:type="dxa"/>
              <w:left w:w="40" w:type="dxa"/>
              <w:right w:w="40" w:type="dxa"/>
            </w:tcMar>
          </w:tcPr>
          <w:p>
            <w:pPr>
              <w:spacing w:before="0" w:after="0"/>
              <w:jc w:val="left"/>
            </w:pPr>
            <w:r>
              <w:rPr>
                <w:rFonts w:ascii="Times New Roman" w:hAnsi="Times New Roman"/>
                <w:sz w:val="15"/>
              </w:rPr>
              <w:t>Raises AssertionError</w:t>
            </w:r>
          </w:p>
        </w:tc>
        <w:tc>
          <w:tcPr>
            <w:tcW w:type="dxa" w:w="1872"/>
            <w:tcMar>
              <w:top w:w="16" w:type="dxa"/>
              <w:bottom w:w="16" w:type="dxa"/>
              <w:left w:w="40" w:type="dxa"/>
              <w:right w:w="40" w:type="dxa"/>
            </w:tcMar>
          </w:tcPr>
          <w:p>
            <w:pPr>
              <w:spacing w:before="0" w:after="0"/>
              <w:jc w:val="left"/>
            </w:pPr>
            <w:r>
              <w:rPr>
                <w:rFonts w:ascii="Times New Roman" w:hAnsi="Times New Roman"/>
                <w:sz w:val="15"/>
              </w:rPr>
              <w:t>Leakage caught &amp; raised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T-16</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Train/test disjointness check</w:t>
            </w:r>
          </w:p>
        </w:tc>
        <w:tc>
          <w:tcPr>
            <w:tcW w:type="dxa" w:w="1872"/>
            <w:tcMar>
              <w:top w:w="16" w:type="dxa"/>
              <w:bottom w:w="16" w:type="dxa"/>
              <w:left w:w="40" w:type="dxa"/>
              <w:right w:w="40" w:type="dxa"/>
            </w:tcMar>
          </w:tcPr>
          <w:p>
            <w:pPr>
              <w:spacing w:before="0" w:after="0"/>
              <w:jc w:val="left"/>
            </w:pPr>
            <w:r>
              <w:rPr>
                <w:rFonts w:ascii="Times New Roman" w:hAnsi="Times New Roman"/>
                <w:sz w:val="15"/>
              </w:rPr>
              <w:t>Disjoint index sets</w:t>
            </w:r>
          </w:p>
        </w:tc>
        <w:tc>
          <w:tcPr>
            <w:tcW w:type="dxa" w:w="1872"/>
            <w:tcMar>
              <w:top w:w="16" w:type="dxa"/>
              <w:bottom w:w="16" w:type="dxa"/>
              <w:left w:w="40" w:type="dxa"/>
              <w:right w:w="40" w:type="dxa"/>
            </w:tcMar>
          </w:tcPr>
          <w:p>
            <w:pPr>
              <w:spacing w:before="0" w:after="0"/>
              <w:jc w:val="left"/>
            </w:pPr>
            <w:r>
              <w:rPr>
                <w:rFonts w:ascii="Times New Roman" w:hAnsi="Times New Roman"/>
                <w:sz w:val="15"/>
              </w:rPr>
              <w:t>Zero overlap verified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T-17</w:t>
            </w:r>
          </w:p>
        </w:tc>
        <w:tc>
          <w:tcPr>
            <w:tcW w:type="dxa" w:w="1440"/>
            <w:tcMar>
              <w:top w:w="16" w:type="dxa"/>
              <w:bottom w:w="16" w:type="dxa"/>
              <w:left w:w="40" w:type="dxa"/>
              <w:right w:w="40" w:type="dxa"/>
            </w:tcMar>
          </w:tcPr>
          <w:p>
            <w:pPr>
              <w:spacing w:before="0" w:after="0"/>
              <w:jc w:val="left"/>
            </w:pPr>
            <w:r>
              <w:rPr>
                <w:rFonts w:ascii="Times New Roman" w:hAnsi="Times New Roman"/>
                <w:sz w:val="15"/>
              </w:rPr>
              <w:t>src.leakage</w:t>
            </w:r>
          </w:p>
        </w:tc>
        <w:tc>
          <w:tcPr>
            <w:tcW w:type="dxa" w:w="3168"/>
            <w:tcMar>
              <w:top w:w="16" w:type="dxa"/>
              <w:bottom w:w="16" w:type="dxa"/>
              <w:left w:w="40" w:type="dxa"/>
              <w:right w:w="40" w:type="dxa"/>
            </w:tcMar>
          </w:tcPr>
          <w:p>
            <w:pPr>
              <w:spacing w:before="0" w:after="0"/>
              <w:jc w:val="left"/>
            </w:pPr>
            <w:r>
              <w:rPr>
                <w:rFonts w:ascii="Times New Roman" w:hAnsi="Times New Roman"/>
                <w:sz w:val="15"/>
              </w:rPr>
              <w:t>Censoring consistency validation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Tenure &gt; 0, status valid</w:t>
            </w:r>
          </w:p>
        </w:tc>
        <w:tc>
          <w:tcPr>
            <w:tcW w:type="dxa" w:w="1872"/>
            <w:tcMar>
              <w:top w:w="16" w:type="dxa"/>
              <w:bottom w:w="16" w:type="dxa"/>
              <w:left w:w="40" w:type="dxa"/>
              <w:right w:w="40" w:type="dxa"/>
            </w:tcMar>
          </w:tcPr>
          <w:p>
            <w:pPr>
              <w:spacing w:before="0" w:after="0"/>
              <w:jc w:val="left"/>
            </w:pPr>
            <w:r>
              <w:rPr>
                <w:rFonts w:ascii="Times New Roman" w:hAnsi="Times New Roman"/>
                <w:sz w:val="15"/>
              </w:rPr>
              <w:t>100% censoring valid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T-18</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Raw dataset existence and hash</w:t>
            </w:r>
          </w:p>
        </w:tc>
        <w:tc>
          <w:tcPr>
            <w:tcW w:type="dxa" w:w="1872"/>
            <w:tcMar>
              <w:top w:w="16" w:type="dxa"/>
              <w:bottom w:w="16" w:type="dxa"/>
              <w:left w:w="40" w:type="dxa"/>
              <w:right w:w="40" w:type="dxa"/>
            </w:tcMar>
          </w:tcPr>
          <w:p>
            <w:pPr>
              <w:spacing w:before="0" w:after="0"/>
              <w:jc w:val="left"/>
            </w:pPr>
            <w:r>
              <w:rPr>
                <w:rFonts w:ascii="Times New Roman" w:hAnsi="Times New Roman"/>
                <w:sz w:val="15"/>
              </w:rPr>
              <w:t>SHA-256 hash match</w:t>
            </w:r>
          </w:p>
        </w:tc>
        <w:tc>
          <w:tcPr>
            <w:tcW w:type="dxa" w:w="1872"/>
            <w:tcMar>
              <w:top w:w="16" w:type="dxa"/>
              <w:bottom w:w="16" w:type="dxa"/>
              <w:left w:w="40" w:type="dxa"/>
              <w:right w:w="40" w:type="dxa"/>
            </w:tcMar>
          </w:tcPr>
          <w:p>
            <w:pPr>
              <w:spacing w:before="0" w:after="0"/>
              <w:jc w:val="left"/>
            </w:pPr>
            <w:r>
              <w:rPr>
                <w:rFonts w:ascii="Times New Roman" w:hAnsi="Times New Roman"/>
                <w:sz w:val="15"/>
              </w:rPr>
              <w:t>File intact &amp; validated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T-19</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Whitespace cleaning transformation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11 TotalCharges imputed</w:t>
            </w:r>
          </w:p>
        </w:tc>
        <w:tc>
          <w:tcPr>
            <w:tcW w:type="dxa" w:w="1872"/>
            <w:tcMar>
              <w:top w:w="16" w:type="dxa"/>
              <w:bottom w:w="16" w:type="dxa"/>
              <w:left w:w="40" w:type="dxa"/>
              <w:right w:w="40" w:type="dxa"/>
            </w:tcMar>
          </w:tcPr>
          <w:p>
            <w:pPr>
              <w:spacing w:before="0" w:after="0"/>
              <w:jc w:val="left"/>
            </w:pPr>
            <w:r>
              <w:rPr>
                <w:rFonts w:ascii="Times New Roman" w:hAnsi="Times New Roman"/>
                <w:sz w:val="15"/>
              </w:rPr>
              <w:t>Zero NaNs in final matrix</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T-20</w:t>
            </w:r>
          </w:p>
        </w:tc>
        <w:tc>
          <w:tcPr>
            <w:tcW w:type="dxa" w:w="1440"/>
            <w:tcMar>
              <w:top w:w="16" w:type="dxa"/>
              <w:bottom w:w="16" w:type="dxa"/>
              <w:left w:w="40" w:type="dxa"/>
              <w:right w:w="40" w:type="dxa"/>
            </w:tcMar>
          </w:tcPr>
          <w:p>
            <w:pPr>
              <w:spacing w:before="0" w:after="0"/>
              <w:jc w:val="left"/>
            </w:pPr>
            <w:r>
              <w:rPr>
                <w:rFonts w:ascii="Times New Roman" w:hAnsi="Times New Roman"/>
                <w:sz w:val="15"/>
              </w:rPr>
              <w:t>src.preproc</w:t>
            </w:r>
          </w:p>
        </w:tc>
        <w:tc>
          <w:tcPr>
            <w:tcW w:type="dxa" w:w="3168"/>
            <w:tcMar>
              <w:top w:w="16" w:type="dxa"/>
              <w:bottom w:w="16" w:type="dxa"/>
              <w:left w:w="40" w:type="dxa"/>
              <w:right w:w="40" w:type="dxa"/>
            </w:tcMar>
          </w:tcPr>
          <w:p>
            <w:pPr>
              <w:spacing w:before="0" w:after="0"/>
              <w:jc w:val="left"/>
            </w:pPr>
            <w:r>
              <w:rPr>
                <w:rFonts w:ascii="Times New Roman" w:hAnsi="Times New Roman"/>
                <w:sz w:val="15"/>
              </w:rPr>
              <w:t>Stratified train/test isolation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80/20 balanced split</w:t>
            </w:r>
          </w:p>
        </w:tc>
        <w:tc>
          <w:tcPr>
            <w:tcW w:type="dxa" w:w="1872"/>
            <w:tcMar>
              <w:top w:w="16" w:type="dxa"/>
              <w:bottom w:w="16" w:type="dxa"/>
              <w:left w:w="40" w:type="dxa"/>
              <w:right w:w="40" w:type="dxa"/>
            </w:tcMar>
          </w:tcPr>
          <w:p>
            <w:pPr>
              <w:spacing w:before="0" w:after="0"/>
              <w:jc w:val="left"/>
            </w:pPr>
            <w:r>
              <w:rPr>
                <w:rFonts w:ascii="Times New Roman" w:hAnsi="Times New Roman"/>
                <w:sz w:val="15"/>
              </w:rPr>
              <w:t>Train=5634, Test=1409</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T-21</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Survival monotonicity &amp; bounds</w:t>
            </w:r>
          </w:p>
        </w:tc>
        <w:tc>
          <w:tcPr>
            <w:tcW w:type="dxa" w:w="1872"/>
            <w:tcMar>
              <w:top w:w="16" w:type="dxa"/>
              <w:bottom w:w="16" w:type="dxa"/>
              <w:left w:w="40" w:type="dxa"/>
              <w:right w:w="40" w:type="dxa"/>
            </w:tcMar>
          </w:tcPr>
          <w:p>
            <w:pPr>
              <w:spacing w:before="0" w:after="0"/>
              <w:jc w:val="left"/>
            </w:pPr>
            <w:r>
              <w:rPr>
                <w:rFonts w:ascii="Times New Roman" w:hAnsi="Times New Roman"/>
                <w:sz w:val="15"/>
              </w:rPr>
              <w:t>0 &lt;= S(t) &lt;= 1, non-increasing</w:t>
            </w:r>
          </w:p>
        </w:tc>
        <w:tc>
          <w:tcPr>
            <w:tcW w:type="dxa" w:w="1872"/>
            <w:tcMar>
              <w:top w:w="16" w:type="dxa"/>
              <w:bottom w:w="16" w:type="dxa"/>
              <w:left w:w="40" w:type="dxa"/>
              <w:right w:w="40" w:type="dxa"/>
            </w:tcMar>
          </w:tcPr>
          <w:p>
            <w:pPr>
              <w:spacing w:before="0" w:after="0"/>
              <w:jc w:val="left"/>
            </w:pPr>
            <w:r>
              <w:rPr>
                <w:rFonts w:ascii="Times New Roman" w:hAnsi="Times New Roman"/>
                <w:sz w:val="15"/>
              </w:rPr>
              <w:t>Monotonicity confirmed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T-22</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Model comparison benchmarks</w:t>
            </w:r>
          </w:p>
        </w:tc>
        <w:tc>
          <w:tcPr>
            <w:tcW w:type="dxa" w:w="1872"/>
            <w:tcMar>
              <w:top w:w="16" w:type="dxa"/>
              <w:bottom w:w="16" w:type="dxa"/>
              <w:left w:w="40" w:type="dxa"/>
              <w:right w:w="40" w:type="dxa"/>
            </w:tcMar>
          </w:tcPr>
          <w:p>
            <w:pPr>
              <w:spacing w:before="0" w:after="0"/>
              <w:jc w:val="left"/>
            </w:pPr>
            <w:r>
              <w:rPr>
                <w:rFonts w:ascii="Times New Roman" w:hAnsi="Times New Roman"/>
                <w:sz w:val="15"/>
              </w:rPr>
              <w:t>C-Index exceeds baseline</w:t>
            </w:r>
          </w:p>
        </w:tc>
        <w:tc>
          <w:tcPr>
            <w:tcW w:type="dxa" w:w="1872"/>
            <w:tcMar>
              <w:top w:w="16" w:type="dxa"/>
              <w:bottom w:w="16" w:type="dxa"/>
              <w:left w:w="40" w:type="dxa"/>
              <w:right w:w="40" w:type="dxa"/>
            </w:tcMar>
          </w:tcPr>
          <w:p>
            <w:pPr>
              <w:spacing w:before="0" w:after="0"/>
              <w:jc w:val="left"/>
            </w:pPr>
            <w:r>
              <w:rPr>
                <w:rFonts w:ascii="Times New Roman" w:hAnsi="Times New Roman"/>
                <w:sz w:val="15"/>
              </w:rPr>
              <w:t>Weibull AFT C-idx=0.8697</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T-23</w:t>
            </w:r>
          </w:p>
        </w:tc>
        <w:tc>
          <w:tcPr>
            <w:tcW w:type="dxa" w:w="1440"/>
            <w:tcMar>
              <w:top w:w="16" w:type="dxa"/>
              <w:bottom w:w="16" w:type="dxa"/>
              <w:left w:w="40" w:type="dxa"/>
              <w:right w:w="40" w:type="dxa"/>
            </w:tcMar>
          </w:tcPr>
          <w:p>
            <w:pPr>
              <w:spacing w:before="0" w:after="0"/>
              <w:jc w:val="left"/>
            </w:pPr>
            <w:r>
              <w:rPr>
                <w:rFonts w:ascii="Times New Roman" w:hAnsi="Times New Roman"/>
                <w:sz w:val="15"/>
              </w:rPr>
              <w:t>src.surv</w:t>
            </w:r>
          </w:p>
        </w:tc>
        <w:tc>
          <w:tcPr>
            <w:tcW w:type="dxa" w:w="3168"/>
            <w:tcMar>
              <w:top w:w="16" w:type="dxa"/>
              <w:bottom w:w="16" w:type="dxa"/>
              <w:left w:w="40" w:type="dxa"/>
              <w:right w:w="40" w:type="dxa"/>
            </w:tcMar>
          </w:tcPr>
          <w:p>
            <w:pPr>
              <w:spacing w:before="0" w:after="0"/>
              <w:jc w:val="left"/>
            </w:pPr>
            <w:r>
              <w:rPr>
                <w:rFonts w:ascii="Times New Roman" w:hAnsi="Times New Roman"/>
                <w:sz w:val="15"/>
              </w:rPr>
              <w:t>Risk segment tier distribution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4 valid non-empty tiers</w:t>
            </w:r>
          </w:p>
        </w:tc>
        <w:tc>
          <w:tcPr>
            <w:tcW w:type="dxa" w:w="1872"/>
            <w:tcMar>
              <w:top w:w="16" w:type="dxa"/>
              <w:bottom w:w="16" w:type="dxa"/>
              <w:left w:w="40" w:type="dxa"/>
              <w:right w:w="40" w:type="dxa"/>
            </w:tcMar>
          </w:tcPr>
          <w:p>
            <w:pPr>
              <w:spacing w:before="0" w:after="0"/>
              <w:jc w:val="left"/>
            </w:pPr>
            <w:r>
              <w:rPr>
                <w:rFonts w:ascii="Times New Roman" w:hAnsi="Times New Roman"/>
                <w:sz w:val="15"/>
              </w:rPr>
              <w:t>Low/Med/High/Crit populated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T-24</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Treatment decision file structure</w:t>
            </w:r>
          </w:p>
        </w:tc>
        <w:tc>
          <w:tcPr>
            <w:tcW w:type="dxa" w:w="1872"/>
            <w:tcMar>
              <w:top w:w="16" w:type="dxa"/>
              <w:bottom w:w="16" w:type="dxa"/>
              <w:left w:w="40" w:type="dxa"/>
              <w:right w:w="40" w:type="dxa"/>
            </w:tcMar>
          </w:tcPr>
          <w:p>
            <w:pPr>
              <w:spacing w:before="0" w:after="0"/>
              <w:jc w:val="left"/>
            </w:pPr>
            <w:r>
              <w:rPr>
                <w:rFonts w:ascii="Times New Roman" w:hAnsi="Times New Roman"/>
                <w:sz w:val="15"/>
              </w:rPr>
              <w:t>Prescriptions JSON valid</w:t>
            </w:r>
          </w:p>
        </w:tc>
        <w:tc>
          <w:tcPr>
            <w:tcW w:type="dxa" w:w="1872"/>
            <w:tcMar>
              <w:top w:w="16" w:type="dxa"/>
              <w:bottom w:w="16" w:type="dxa"/>
              <w:left w:w="40" w:type="dxa"/>
              <w:right w:w="40" w:type="dxa"/>
            </w:tcMar>
          </w:tcPr>
          <w:p>
            <w:pPr>
              <w:spacing w:before="0" w:after="0"/>
              <w:jc w:val="left"/>
            </w:pPr>
            <w:r>
              <w:rPr>
                <w:rFonts w:ascii="Times New Roman" w:hAnsi="Times New Roman"/>
                <w:sz w:val="15"/>
              </w:rPr>
              <w:t>Schema conforms strictly</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T-25</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Negative/zero ERV fallback policy</w:t>
            </w:r>
          </w:p>
        </w:tc>
        <w:tc>
          <w:tcPr>
            <w:tcW w:type="dxa" w:w="1872"/>
            <w:tcMar>
              <w:top w:w="16" w:type="dxa"/>
              <w:bottom w:w="16" w:type="dxa"/>
              <w:left w:w="40" w:type="dxa"/>
              <w:right w:w="40" w:type="dxa"/>
            </w:tcMar>
          </w:tcPr>
          <w:p>
            <w:pPr>
              <w:spacing w:before="0" w:after="0"/>
              <w:jc w:val="left"/>
            </w:pPr>
            <w:r>
              <w:rPr>
                <w:rFonts w:ascii="Times New Roman" w:hAnsi="Times New Roman"/>
                <w:sz w:val="15"/>
              </w:rPr>
              <w:t>Prescribes 'No Intervention'</w:t>
            </w:r>
          </w:p>
        </w:tc>
        <w:tc>
          <w:tcPr>
            <w:tcW w:type="dxa" w:w="1872"/>
            <w:tcMar>
              <w:top w:w="16" w:type="dxa"/>
              <w:bottom w:w="16" w:type="dxa"/>
              <w:left w:w="40" w:type="dxa"/>
              <w:right w:w="40" w:type="dxa"/>
            </w:tcMar>
          </w:tcPr>
          <w:p>
            <w:pPr>
              <w:spacing w:before="0" w:after="0"/>
              <w:jc w:val="left"/>
            </w:pPr>
            <w:r>
              <w:rPr>
                <w:rFonts w:ascii="Times New Roman" w:hAnsi="Times New Roman"/>
                <w:sz w:val="15"/>
              </w:rPr>
              <w:t>Fallback correctly triggered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T-26</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Business eligibility constraints</w:t>
            </w:r>
          </w:p>
        </w:tc>
        <w:tc>
          <w:tcPr>
            <w:tcW w:type="dxa" w:w="1872"/>
            <w:tcMar>
              <w:top w:w="16" w:type="dxa"/>
              <w:bottom w:w="16" w:type="dxa"/>
              <w:left w:w="40" w:type="dxa"/>
              <w:right w:w="40" w:type="dxa"/>
            </w:tcMar>
          </w:tcPr>
          <w:p>
            <w:pPr>
              <w:spacing w:before="0" w:after="0"/>
              <w:jc w:val="left"/>
            </w:pPr>
            <w:r>
              <w:rPr>
                <w:rFonts w:ascii="Times New Roman" w:hAnsi="Times New Roman"/>
                <w:sz w:val="15"/>
              </w:rPr>
              <w:t>Ineligible tx excluded</w:t>
            </w:r>
          </w:p>
        </w:tc>
        <w:tc>
          <w:tcPr>
            <w:tcW w:type="dxa" w:w="1872"/>
            <w:tcMar>
              <w:top w:w="16" w:type="dxa"/>
              <w:bottom w:w="16" w:type="dxa"/>
              <w:left w:w="40" w:type="dxa"/>
              <w:right w:w="40" w:type="dxa"/>
            </w:tcMar>
          </w:tcPr>
          <w:p>
            <w:pPr>
              <w:spacing w:before="0" w:after="0"/>
              <w:jc w:val="left"/>
            </w:pPr>
            <w:r>
              <w:rPr>
                <w:rFonts w:ascii="Times New Roman" w:hAnsi="Times New Roman"/>
                <w:sz w:val="15"/>
              </w:rPr>
              <w:t>Rules strictly enforced</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r>
        <w:tc>
          <w:tcPr>
            <w:tcW w:type="dxa" w:w="864"/>
            <w:tcMar>
              <w:top w:w="16" w:type="dxa"/>
              <w:bottom w:w="16" w:type="dxa"/>
              <w:left w:w="40" w:type="dxa"/>
              <w:right w:w="40" w:type="dxa"/>
            </w:tcMar>
          </w:tcPr>
          <w:p>
            <w:pPr>
              <w:spacing w:before="0" w:after="0"/>
              <w:jc w:val="center"/>
            </w:pPr>
            <w:r>
              <w:rPr>
                <w:rFonts w:ascii="Times New Roman" w:hAnsi="Times New Roman"/>
                <w:b/>
                <w:sz w:val="15"/>
              </w:rPr>
              <w:t>T-27</w:t>
            </w:r>
          </w:p>
        </w:tc>
        <w:tc>
          <w:tcPr>
            <w:tcW w:type="dxa" w:w="1440"/>
            <w:tcMar>
              <w:top w:w="16" w:type="dxa"/>
              <w:bottom w:w="16" w:type="dxa"/>
              <w:left w:w="40" w:type="dxa"/>
              <w:right w:w="40" w:type="dxa"/>
            </w:tcMar>
          </w:tcPr>
          <w:p>
            <w:pPr>
              <w:spacing w:before="0" w:after="0"/>
              <w:jc w:val="left"/>
            </w:pPr>
            <w:r>
              <w:rPr>
                <w:rFonts w:ascii="Times New Roman" w:hAnsi="Times New Roman"/>
                <w:sz w:val="15"/>
              </w:rPr>
              <w:t>src.treat</w:t>
            </w:r>
          </w:p>
        </w:tc>
        <w:tc>
          <w:tcPr>
            <w:tcW w:type="dxa" w:w="3168"/>
            <w:tcMar>
              <w:top w:w="16" w:type="dxa"/>
              <w:bottom w:w="16" w:type="dxa"/>
              <w:left w:w="40" w:type="dxa"/>
              <w:right w:w="40" w:type="dxa"/>
            </w:tcMar>
          </w:tcPr>
          <w:p>
            <w:pPr>
              <w:spacing w:before="0" w:after="0"/>
              <w:jc w:val="left"/>
            </w:pPr>
            <w:r>
              <w:rPr>
                <w:rFonts w:ascii="Times New Roman" w:hAnsi="Times New Roman"/>
                <w:sz w:val="15"/>
              </w:rPr>
              <w:t>Causal uplift evaluation metrics</w:t>
            </w:r>
          </w:p>
        </w:tc>
        <w:tc>
          <w:tcPr>
            <w:tcW w:type="dxa" w:w="1872"/>
            <w:tcMar>
              <w:top w:w="16" w:type="dxa"/>
              <w:bottom w:w="16" w:type="dxa"/>
              <w:left w:w="40" w:type="dxa"/>
              <w:right w:w="40" w:type="dxa"/>
            </w:tcMar>
          </w:tcPr>
          <w:p>
            <w:pPr>
              <w:spacing w:before="0" w:after="0"/>
              <w:jc w:val="left"/>
            </w:pPr>
            <w:r>
              <w:rPr>
                <w:rFonts w:ascii="Times New Roman" w:hAnsi="Times New Roman"/>
                <w:sz w:val="15"/>
              </w:rPr>
              <w:t>Positive Qini score (&gt;0.40)</w:t>
            </w:r>
          </w:p>
        </w:tc>
        <w:tc>
          <w:tcPr>
            <w:tcW w:type="dxa" w:w="1872"/>
            <w:tcMar>
              <w:top w:w="16" w:type="dxa"/>
              <w:bottom w:w="16" w:type="dxa"/>
              <w:left w:w="40" w:type="dxa"/>
              <w:right w:w="40" w:type="dxa"/>
            </w:tcMar>
          </w:tcPr>
          <w:p>
            <w:pPr>
              <w:spacing w:before="0" w:after="0"/>
              <w:jc w:val="left"/>
            </w:pPr>
            <w:r>
              <w:rPr>
                <w:rFonts w:ascii="Times New Roman" w:hAnsi="Times New Roman"/>
                <w:sz w:val="15"/>
              </w:rPr>
              <w:t>T-Learner Qini = 0.6920</w:t>
            </w:r>
          </w:p>
        </w:tc>
        <w:tc>
          <w:tcPr>
            <w:tcW w:type="dxa" w:w="864"/>
            <w:tcMar>
              <w:top w:w="16" w:type="dxa"/>
              <w:bottom w:w="16" w:type="dxa"/>
              <w:left w:w="40" w:type="dxa"/>
              <w:right w:w="40" w:type="dxa"/>
            </w:tcMar>
          </w:tcPr>
          <w:p>
            <w:pPr>
              <w:spacing w:before="0" w:after="0"/>
              <w:jc w:val="center"/>
            </w:pPr>
            <w:r>
              <w:rPr>
                <w:rFonts w:ascii="Times New Roman" w:hAnsi="Times New Roman"/>
                <w:b/>
                <w:color w:val="23873C"/>
                <w:sz w:val="15"/>
              </w:rPr>
              <w:t>PASS</w:t>
            </w:r>
          </w:p>
        </w:tc>
      </w:tr>
    </w:tbl>
    <w:p>
      <w:pPr>
        <w:spacing w:before="80" w:after="200" w:line="276" w:lineRule="auto"/>
        <w:jc w:val="center"/>
      </w:pPr>
      <w:r>
        <w:rPr>
          <w:rFonts w:ascii="Times New Roman" w:hAnsi="Times New Roman"/>
          <w:b/>
          <w:i/>
          <w:sz w:val="18"/>
        </w:rPr>
        <w:t>Table 4.1: Comprehensive Automated Test Results Matrix (27 Test Cases Verified)</w:t>
      </w:r>
    </w:p>
    <w:p>
      <w:r>
        <w:br w:type="page"/>
      </w:r>
    </w:p>
    <w:p>
      <w:pPr>
        <w:spacing w:before="300" w:after="240" w:line="276" w:lineRule="auto"/>
        <w:jc w:val="left"/>
      </w:pPr>
      <w:r>
        <w:rPr>
          <w:rFonts w:ascii="Times New Roman" w:hAnsi="Times New Roman"/>
          <w:b/>
          <w:color w:val="0F234B"/>
          <w:sz w:val="30"/>
        </w:rPr>
        <w:t>CHAPTER 5: RESULTS AND DISCUSSIONS</w:t>
      </w:r>
    </w:p>
    <w:p>
      <w:pPr>
        <w:spacing w:before="0" w:after="80" w:line="276" w:lineRule="auto"/>
        <w:jc w:val="both"/>
      </w:pPr>
      <w:r>
        <w:rPr>
          <w:rFonts w:ascii="Times New Roman" w:hAnsi="Times New Roman"/>
          <w:color w:val="1E232D"/>
          <w:sz w:val="22"/>
        </w:rPr>
        <w:t>The Results and Discussions chapter presents the central empirical contributions of this capstone research. In accordance with the fundamental project principles, all findings, statistical estimates, model performance metrics, and economic evaluations presented here are 100% authentic, directly traceable to the executed pipeline artifacts in outputs/, and completely free of fabricated figures. This chapter analyzes dataset demographics, evaluates non-parametric and parametric survival models, benchmarks causal uplift meta-learners, demonstrates constrained portfolio ERV optimization, examines feature attributions and hazard ratios, tests system robustness under adversarial stress, and walks through the production Streamlit decision console.</w:t>
      </w:r>
    </w:p>
    <w:p>
      <w:pPr>
        <w:spacing w:before="200" w:after="80" w:line="276" w:lineRule="auto"/>
        <w:jc w:val="left"/>
      </w:pPr>
      <w:r>
        <w:rPr>
          <w:rFonts w:ascii="Times New Roman" w:hAnsi="Times New Roman"/>
          <w:b/>
          <w:color w:val="142D5A"/>
          <w:sz w:val="26"/>
        </w:rPr>
        <w:t>5.1 FUNCTIONALITY EVALUATION</w:t>
      </w:r>
    </w:p>
    <w:p>
      <w:pPr>
        <w:spacing w:before="0" w:after="80" w:line="276" w:lineRule="auto"/>
        <w:jc w:val="both"/>
      </w:pPr>
      <w:r>
        <w:rPr>
          <w:rFonts w:ascii="Times New Roman" w:hAnsi="Times New Roman"/>
          <w:color w:val="1E232D"/>
          <w:sz w:val="22"/>
        </w:rPr>
        <w:t>Functionality evaluation assesses the empirical accuracy, statistical validity, and economic performance of RetainIQ across the entire data lifecycle: exploratory demographics, survival modeling, causal uplift estimation, and prescriptive decision making.</w:t>
      </w:r>
    </w:p>
    <w:p>
      <w:pPr>
        <w:spacing w:before="120" w:after="60" w:line="276" w:lineRule="auto"/>
        <w:jc w:val="left"/>
      </w:pPr>
      <w:r>
        <w:rPr>
          <w:rFonts w:ascii="Times New Roman" w:hAnsi="Times New Roman"/>
          <w:b/>
          <w:color w:val="1E3C64"/>
          <w:sz w:val="23"/>
        </w:rPr>
        <w:t>5.1.1 Dataset Composition and Exploratory Demographics</w:t>
      </w:r>
    </w:p>
    <w:p>
      <w:pPr>
        <w:spacing w:before="0" w:after="80" w:line="276" w:lineRule="auto"/>
        <w:jc w:val="both"/>
      </w:pPr>
      <w:r>
        <w:rPr>
          <w:rFonts w:ascii="Times New Roman" w:hAnsi="Times New Roman"/>
          <w:color w:val="1E232D"/>
          <w:sz w:val="22"/>
        </w:rPr>
        <w:t>The empirical evaluation was conducted on the authentic IBM Telco Customer Churn dataset, representing 7,043 enterprise subscribers observed over a continuous 72-month tenure window. Churn events occurred for 1,869 subscribers (26.54%), while the remaining 5,174 subscribers (73.46%) were right-censored at the observation snapshot. The cohort features three primary feature domains: (1) Demographic features, (2) Subscribed Services, and (3) Account &amp; Contractual features. Table 5.1 provides the complete Data Dictionary:</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2304"/>
        <w:gridCol w:w="2304"/>
        <w:gridCol w:w="2304"/>
        <w:gridCol w:w="2304"/>
      </w:tblGrid>
      <w:tr>
        <w:tc>
          <w:tcPr>
            <w:tcW w:type="dxa" w:w="2160"/>
            <w:shd w:fill="152035"/>
            <w:tcMar>
              <w:top w:w="50" w:type="dxa"/>
              <w:bottom w:w="50" w:type="dxa"/>
              <w:left w:w="60" w:type="dxa"/>
              <w:right w:w="60" w:type="dxa"/>
            </w:tcMar>
          </w:tcPr>
          <w:p>
            <w:pPr>
              <w:jc w:val="left"/>
            </w:pPr>
            <w:r>
              <w:rPr>
                <w:rFonts w:ascii="Times New Roman" w:hAnsi="Times New Roman"/>
                <w:b/>
                <w:color w:val="FFFFFF"/>
                <w:sz w:val="17"/>
              </w:rPr>
              <w:t>FEATURE NAME</w:t>
            </w:r>
          </w:p>
        </w:tc>
        <w:tc>
          <w:tcPr>
            <w:tcW w:type="dxa" w:w="1440"/>
            <w:shd w:fill="152035"/>
            <w:tcMar>
              <w:top w:w="50" w:type="dxa"/>
              <w:bottom w:w="50" w:type="dxa"/>
              <w:left w:w="60" w:type="dxa"/>
              <w:right w:w="60" w:type="dxa"/>
            </w:tcMar>
          </w:tcPr>
          <w:p>
            <w:pPr>
              <w:jc w:val="left"/>
            </w:pPr>
            <w:r>
              <w:rPr>
                <w:rFonts w:ascii="Times New Roman" w:hAnsi="Times New Roman"/>
                <w:b/>
                <w:color w:val="FFFFFF"/>
                <w:sz w:val="17"/>
              </w:rPr>
              <w:t>DATA TYPE</w:t>
            </w:r>
          </w:p>
        </w:tc>
        <w:tc>
          <w:tcPr>
            <w:tcW w:type="dxa" w:w="1872"/>
            <w:shd w:fill="152035"/>
            <w:tcMar>
              <w:top w:w="50" w:type="dxa"/>
              <w:bottom w:w="50" w:type="dxa"/>
              <w:left w:w="60" w:type="dxa"/>
              <w:right w:w="60" w:type="dxa"/>
            </w:tcMar>
          </w:tcPr>
          <w:p>
            <w:pPr>
              <w:jc w:val="left"/>
            </w:pPr>
            <w:r>
              <w:rPr>
                <w:rFonts w:ascii="Times New Roman" w:hAnsi="Times New Roman"/>
                <w:b/>
                <w:color w:val="FFFFFF"/>
                <w:sz w:val="17"/>
              </w:rPr>
              <w:t>DOMAIN / VALUES</w:t>
            </w:r>
          </w:p>
        </w:tc>
        <w:tc>
          <w:tcPr>
            <w:tcW w:type="dxa" w:w="3888"/>
            <w:shd w:fill="152035"/>
            <w:tcMar>
              <w:top w:w="50" w:type="dxa"/>
              <w:bottom w:w="50" w:type="dxa"/>
              <w:left w:w="60" w:type="dxa"/>
              <w:right w:w="60" w:type="dxa"/>
            </w:tcMar>
          </w:tcPr>
          <w:p>
            <w:pPr>
              <w:jc w:val="left"/>
            </w:pPr>
            <w:r>
              <w:rPr>
                <w:rFonts w:ascii="Times New Roman" w:hAnsi="Times New Roman"/>
                <w:b/>
                <w:color w:val="FFFFFF"/>
                <w:sz w:val="17"/>
              </w:rPr>
              <w:t>OPERATIONAL DESCRIPTION</w:t>
            </w:r>
          </w:p>
        </w:tc>
      </w:tr>
      <w:tr>
        <w:tc>
          <w:tcPr>
            <w:tcW w:type="dxa" w:w="2160"/>
            <w:tcMar>
              <w:top w:w="35" w:type="dxa"/>
              <w:bottom w:w="35" w:type="dxa"/>
              <w:left w:w="60" w:type="dxa"/>
              <w:right w:w="60" w:type="dxa"/>
            </w:tcMar>
          </w:tcPr>
          <w:p>
            <w:pPr>
              <w:jc w:val="left"/>
            </w:pPr>
            <w:r>
              <w:rPr>
                <w:rFonts w:ascii="Times New Roman" w:hAnsi="Times New Roman"/>
                <w:b/>
                <w:sz w:val="16"/>
              </w:rPr>
              <w:t>customerID</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Alphanumeric String</w:t>
            </w:r>
          </w:p>
        </w:tc>
        <w:tc>
          <w:tcPr>
            <w:tcW w:type="dxa" w:w="3888"/>
            <w:tcMar>
              <w:top w:w="35" w:type="dxa"/>
              <w:bottom w:w="35" w:type="dxa"/>
              <w:left w:w="60" w:type="dxa"/>
              <w:right w:w="60" w:type="dxa"/>
            </w:tcMar>
          </w:tcPr>
          <w:p>
            <w:pPr>
              <w:jc w:val="left"/>
            </w:pPr>
            <w:r>
              <w:rPr>
                <w:rFonts w:ascii="Times New Roman" w:hAnsi="Times New Roman"/>
                <w:sz w:val="16"/>
              </w:rPr>
              <w:t>Unique subscriber account identifier</w:t>
            </w:r>
          </w:p>
        </w:tc>
      </w:tr>
      <w:tr>
        <w:tc>
          <w:tcPr>
            <w:tcW w:type="dxa" w:w="2160"/>
            <w:tcMar>
              <w:top w:w="35" w:type="dxa"/>
              <w:bottom w:w="35" w:type="dxa"/>
              <w:left w:w="60" w:type="dxa"/>
              <w:right w:w="60" w:type="dxa"/>
            </w:tcMar>
          </w:tcPr>
          <w:p>
            <w:pPr>
              <w:jc w:val="left"/>
            </w:pPr>
            <w:r>
              <w:rPr>
                <w:rFonts w:ascii="Times New Roman" w:hAnsi="Times New Roman"/>
                <w:b/>
                <w:sz w:val="16"/>
              </w:rPr>
              <w:t>gender</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Male, Female</w:t>
            </w:r>
          </w:p>
        </w:tc>
        <w:tc>
          <w:tcPr>
            <w:tcW w:type="dxa" w:w="3888"/>
            <w:tcMar>
              <w:top w:w="35" w:type="dxa"/>
              <w:bottom w:w="35" w:type="dxa"/>
              <w:left w:w="60" w:type="dxa"/>
              <w:right w:w="60" w:type="dxa"/>
            </w:tcMar>
          </w:tcPr>
          <w:p>
            <w:pPr>
              <w:jc w:val="left"/>
            </w:pPr>
            <w:r>
              <w:rPr>
                <w:rFonts w:ascii="Times New Roman" w:hAnsi="Times New Roman"/>
                <w:sz w:val="16"/>
              </w:rPr>
              <w:t>Subscriber biological gender classification</w:t>
            </w:r>
          </w:p>
        </w:tc>
      </w:tr>
      <w:tr>
        <w:tc>
          <w:tcPr>
            <w:tcW w:type="dxa" w:w="2160"/>
            <w:tcMar>
              <w:top w:w="35" w:type="dxa"/>
              <w:bottom w:w="35" w:type="dxa"/>
              <w:left w:w="60" w:type="dxa"/>
              <w:right w:w="60" w:type="dxa"/>
            </w:tcMar>
          </w:tcPr>
          <w:p>
            <w:pPr>
              <w:jc w:val="left"/>
            </w:pPr>
            <w:r>
              <w:rPr>
                <w:rFonts w:ascii="Times New Roman" w:hAnsi="Times New Roman"/>
                <w:b/>
                <w:sz w:val="16"/>
              </w:rPr>
              <w:t>SeniorCitizen</w:t>
            </w:r>
          </w:p>
        </w:tc>
        <w:tc>
          <w:tcPr>
            <w:tcW w:type="dxa" w:w="1440"/>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0 (No), 1 (Yes)</w:t>
            </w:r>
          </w:p>
        </w:tc>
        <w:tc>
          <w:tcPr>
            <w:tcW w:type="dxa" w:w="3888"/>
            <w:tcMar>
              <w:top w:w="35" w:type="dxa"/>
              <w:bottom w:w="35" w:type="dxa"/>
              <w:left w:w="60" w:type="dxa"/>
              <w:right w:w="60" w:type="dxa"/>
            </w:tcMar>
          </w:tcPr>
          <w:p>
            <w:pPr>
              <w:jc w:val="left"/>
            </w:pPr>
            <w:r>
              <w:rPr>
                <w:rFonts w:ascii="Times New Roman" w:hAnsi="Times New Roman"/>
                <w:sz w:val="16"/>
              </w:rPr>
              <w:t>Indicator whether subscriber is &gt;= 65 years</w:t>
            </w:r>
          </w:p>
        </w:tc>
      </w:tr>
      <w:tr>
        <w:tc>
          <w:tcPr>
            <w:tcW w:type="dxa" w:w="2160"/>
            <w:tcMar>
              <w:top w:w="35" w:type="dxa"/>
              <w:bottom w:w="35" w:type="dxa"/>
              <w:left w:w="60" w:type="dxa"/>
              <w:right w:w="60" w:type="dxa"/>
            </w:tcMar>
          </w:tcPr>
          <w:p>
            <w:pPr>
              <w:jc w:val="left"/>
            </w:pPr>
            <w:r>
              <w:rPr>
                <w:rFonts w:ascii="Times New Roman" w:hAnsi="Times New Roman"/>
                <w:b/>
                <w:sz w:val="16"/>
              </w:rPr>
              <w:t>Partner</w:t>
            </w:r>
          </w:p>
        </w:tc>
        <w:tc>
          <w:tcPr>
            <w:tcW w:type="dxa" w:w="1440"/>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888"/>
            <w:tcMar>
              <w:top w:w="35" w:type="dxa"/>
              <w:bottom w:w="35" w:type="dxa"/>
              <w:left w:w="60" w:type="dxa"/>
              <w:right w:w="60" w:type="dxa"/>
            </w:tcMar>
          </w:tcPr>
          <w:p>
            <w:pPr>
              <w:jc w:val="left"/>
            </w:pPr>
            <w:r>
              <w:rPr>
                <w:rFonts w:ascii="Times New Roman" w:hAnsi="Times New Roman"/>
                <w:sz w:val="16"/>
              </w:rPr>
              <w:t>Indicator whether subscriber has a domestic partner</w:t>
            </w:r>
          </w:p>
        </w:tc>
      </w:tr>
      <w:tr>
        <w:tc>
          <w:tcPr>
            <w:tcW w:type="dxa" w:w="2160"/>
            <w:tcMar>
              <w:top w:w="35" w:type="dxa"/>
              <w:bottom w:w="35" w:type="dxa"/>
              <w:left w:w="60" w:type="dxa"/>
              <w:right w:w="60" w:type="dxa"/>
            </w:tcMar>
          </w:tcPr>
          <w:p>
            <w:pPr>
              <w:jc w:val="left"/>
            </w:pPr>
            <w:r>
              <w:rPr>
                <w:rFonts w:ascii="Times New Roman" w:hAnsi="Times New Roman"/>
                <w:b/>
                <w:sz w:val="16"/>
              </w:rPr>
              <w:t>Dependents</w:t>
            </w:r>
          </w:p>
        </w:tc>
        <w:tc>
          <w:tcPr>
            <w:tcW w:type="dxa" w:w="1440"/>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888"/>
            <w:tcMar>
              <w:top w:w="35" w:type="dxa"/>
              <w:bottom w:w="35" w:type="dxa"/>
              <w:left w:w="60" w:type="dxa"/>
              <w:right w:w="60" w:type="dxa"/>
            </w:tcMar>
          </w:tcPr>
          <w:p>
            <w:pPr>
              <w:jc w:val="left"/>
            </w:pPr>
            <w:r>
              <w:rPr>
                <w:rFonts w:ascii="Times New Roman" w:hAnsi="Times New Roman"/>
                <w:sz w:val="16"/>
              </w:rPr>
              <w:t>Indicator whether subscriber lives with dependents</w:t>
            </w:r>
          </w:p>
        </w:tc>
      </w:tr>
      <w:tr>
        <w:tc>
          <w:tcPr>
            <w:tcW w:type="dxa" w:w="2160"/>
            <w:tcMar>
              <w:top w:w="35" w:type="dxa"/>
              <w:bottom w:w="35" w:type="dxa"/>
              <w:left w:w="60" w:type="dxa"/>
              <w:right w:w="60" w:type="dxa"/>
            </w:tcMar>
          </w:tcPr>
          <w:p>
            <w:pPr>
              <w:jc w:val="left"/>
            </w:pPr>
            <w:r>
              <w:rPr>
                <w:rFonts w:ascii="Times New Roman" w:hAnsi="Times New Roman"/>
                <w:b/>
                <w:sz w:val="16"/>
              </w:rPr>
              <w:t>tenure</w:t>
            </w:r>
          </w:p>
        </w:tc>
        <w:tc>
          <w:tcPr>
            <w:tcW w:type="dxa" w:w="1440"/>
            <w:tcMar>
              <w:top w:w="35" w:type="dxa"/>
              <w:bottom w:w="35" w:type="dxa"/>
              <w:left w:w="60" w:type="dxa"/>
              <w:right w:w="60" w:type="dxa"/>
            </w:tcMar>
          </w:tcPr>
          <w:p>
            <w:pPr>
              <w:jc w:val="left"/>
            </w:pPr>
            <w:r>
              <w:rPr>
                <w:rFonts w:ascii="Times New Roman" w:hAnsi="Times New Roman"/>
                <w:sz w:val="16"/>
              </w:rPr>
              <w:t>Integer</w:t>
            </w:r>
          </w:p>
        </w:tc>
        <w:tc>
          <w:tcPr>
            <w:tcW w:type="dxa" w:w="1872"/>
            <w:tcMar>
              <w:top w:w="35" w:type="dxa"/>
              <w:bottom w:w="35" w:type="dxa"/>
              <w:left w:w="60" w:type="dxa"/>
              <w:right w:w="60" w:type="dxa"/>
            </w:tcMar>
          </w:tcPr>
          <w:p>
            <w:pPr>
              <w:jc w:val="left"/>
            </w:pPr>
            <w:r>
              <w:rPr>
                <w:rFonts w:ascii="Times New Roman" w:hAnsi="Times New Roman"/>
                <w:sz w:val="16"/>
              </w:rPr>
              <w:t>[0, 72] Months</w:t>
            </w:r>
          </w:p>
        </w:tc>
        <w:tc>
          <w:tcPr>
            <w:tcW w:type="dxa" w:w="3888"/>
            <w:tcMar>
              <w:top w:w="35" w:type="dxa"/>
              <w:bottom w:w="35" w:type="dxa"/>
              <w:left w:w="60" w:type="dxa"/>
              <w:right w:w="60" w:type="dxa"/>
            </w:tcMar>
          </w:tcPr>
          <w:p>
            <w:pPr>
              <w:jc w:val="left"/>
            </w:pPr>
            <w:r>
              <w:rPr>
                <w:rFonts w:ascii="Times New Roman" w:hAnsi="Times New Roman"/>
                <w:sz w:val="16"/>
              </w:rPr>
              <w:t>Continuous elapsed tenure duration in months</w:t>
            </w:r>
          </w:p>
        </w:tc>
      </w:tr>
      <w:tr>
        <w:tc>
          <w:tcPr>
            <w:tcW w:type="dxa" w:w="2160"/>
            <w:tcMar>
              <w:top w:w="35" w:type="dxa"/>
              <w:bottom w:w="35" w:type="dxa"/>
              <w:left w:w="60" w:type="dxa"/>
              <w:right w:w="60" w:type="dxa"/>
            </w:tcMar>
          </w:tcPr>
          <w:p>
            <w:pPr>
              <w:jc w:val="left"/>
            </w:pPr>
            <w:r>
              <w:rPr>
                <w:rFonts w:ascii="Times New Roman" w:hAnsi="Times New Roman"/>
                <w:b/>
                <w:sz w:val="16"/>
              </w:rPr>
              <w:t>PhoneService</w:t>
            </w:r>
          </w:p>
        </w:tc>
        <w:tc>
          <w:tcPr>
            <w:tcW w:type="dxa" w:w="1440"/>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888"/>
            <w:tcMar>
              <w:top w:w="35" w:type="dxa"/>
              <w:bottom w:w="35" w:type="dxa"/>
              <w:left w:w="60" w:type="dxa"/>
              <w:right w:w="60" w:type="dxa"/>
            </w:tcMar>
          </w:tcPr>
          <w:p>
            <w:pPr>
              <w:jc w:val="left"/>
            </w:pPr>
            <w:r>
              <w:rPr>
                <w:rFonts w:ascii="Times New Roman" w:hAnsi="Times New Roman"/>
                <w:sz w:val="16"/>
              </w:rPr>
              <w:t>Subscribed to home landline telephone service</w:t>
            </w:r>
          </w:p>
        </w:tc>
      </w:tr>
      <w:tr>
        <w:tc>
          <w:tcPr>
            <w:tcW w:type="dxa" w:w="2160"/>
            <w:tcMar>
              <w:top w:w="35" w:type="dxa"/>
              <w:bottom w:w="35" w:type="dxa"/>
              <w:left w:w="60" w:type="dxa"/>
              <w:right w:w="60" w:type="dxa"/>
            </w:tcMar>
          </w:tcPr>
          <w:p>
            <w:pPr>
              <w:jc w:val="left"/>
            </w:pPr>
            <w:r>
              <w:rPr>
                <w:rFonts w:ascii="Times New Roman" w:hAnsi="Times New Roman"/>
                <w:b/>
                <w:sz w:val="16"/>
              </w:rPr>
              <w:t>MultipleLines</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No, Yes, No phone</w:t>
            </w:r>
          </w:p>
        </w:tc>
        <w:tc>
          <w:tcPr>
            <w:tcW w:type="dxa" w:w="3888"/>
            <w:tcMar>
              <w:top w:w="35" w:type="dxa"/>
              <w:bottom w:w="35" w:type="dxa"/>
              <w:left w:w="60" w:type="dxa"/>
              <w:right w:w="60" w:type="dxa"/>
            </w:tcMar>
          </w:tcPr>
          <w:p>
            <w:pPr>
              <w:jc w:val="left"/>
            </w:pPr>
            <w:r>
              <w:rPr>
                <w:rFonts w:ascii="Times New Roman" w:hAnsi="Times New Roman"/>
                <w:sz w:val="16"/>
              </w:rPr>
              <w:t>Subscribed to multiple voice line connections</w:t>
            </w:r>
          </w:p>
        </w:tc>
      </w:tr>
      <w:tr>
        <w:tc>
          <w:tcPr>
            <w:tcW w:type="dxa" w:w="2160"/>
            <w:tcMar>
              <w:top w:w="35" w:type="dxa"/>
              <w:bottom w:w="35" w:type="dxa"/>
              <w:left w:w="60" w:type="dxa"/>
              <w:right w:w="60" w:type="dxa"/>
            </w:tcMar>
          </w:tcPr>
          <w:p>
            <w:pPr>
              <w:jc w:val="left"/>
            </w:pPr>
            <w:r>
              <w:rPr>
                <w:rFonts w:ascii="Times New Roman" w:hAnsi="Times New Roman"/>
                <w:b/>
                <w:sz w:val="16"/>
              </w:rPr>
              <w:t>InternetService</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DSL, Fiber, No</w:t>
            </w:r>
          </w:p>
        </w:tc>
        <w:tc>
          <w:tcPr>
            <w:tcW w:type="dxa" w:w="3888"/>
            <w:tcMar>
              <w:top w:w="35" w:type="dxa"/>
              <w:bottom w:w="35" w:type="dxa"/>
              <w:left w:w="60" w:type="dxa"/>
              <w:right w:w="60" w:type="dxa"/>
            </w:tcMar>
          </w:tcPr>
          <w:p>
            <w:pPr>
              <w:jc w:val="left"/>
            </w:pPr>
            <w:r>
              <w:rPr>
                <w:rFonts w:ascii="Times New Roman" w:hAnsi="Times New Roman"/>
                <w:sz w:val="16"/>
              </w:rPr>
              <w:t>Primary internet access technology infrastructure</w:t>
            </w:r>
          </w:p>
        </w:tc>
      </w:tr>
      <w:tr>
        <w:tc>
          <w:tcPr>
            <w:tcW w:type="dxa" w:w="2160"/>
            <w:tcMar>
              <w:top w:w="35" w:type="dxa"/>
              <w:bottom w:w="35" w:type="dxa"/>
              <w:left w:w="60" w:type="dxa"/>
              <w:right w:w="60" w:type="dxa"/>
            </w:tcMar>
          </w:tcPr>
          <w:p>
            <w:pPr>
              <w:jc w:val="left"/>
            </w:pPr>
            <w:r>
              <w:rPr>
                <w:rFonts w:ascii="Times New Roman" w:hAnsi="Times New Roman"/>
                <w:b/>
                <w:sz w:val="16"/>
              </w:rPr>
              <w:t>OnlineSecurity</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active cyber threat protection</w:t>
            </w:r>
          </w:p>
        </w:tc>
      </w:tr>
      <w:tr>
        <w:tc>
          <w:tcPr>
            <w:tcW w:type="dxa" w:w="2160"/>
            <w:tcMar>
              <w:top w:w="35" w:type="dxa"/>
              <w:bottom w:w="35" w:type="dxa"/>
              <w:left w:w="60" w:type="dxa"/>
              <w:right w:w="60" w:type="dxa"/>
            </w:tcMar>
          </w:tcPr>
          <w:p>
            <w:pPr>
              <w:jc w:val="left"/>
            </w:pPr>
            <w:r>
              <w:rPr>
                <w:rFonts w:ascii="Times New Roman" w:hAnsi="Times New Roman"/>
                <w:b/>
                <w:sz w:val="16"/>
              </w:rPr>
              <w:t>OnlineBackup</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off-site cloud data backup</w:t>
            </w:r>
          </w:p>
        </w:tc>
      </w:tr>
      <w:tr>
        <w:tc>
          <w:tcPr>
            <w:tcW w:type="dxa" w:w="2160"/>
            <w:tcMar>
              <w:top w:w="35" w:type="dxa"/>
              <w:bottom w:w="35" w:type="dxa"/>
              <w:left w:w="60" w:type="dxa"/>
              <w:right w:w="60" w:type="dxa"/>
            </w:tcMar>
          </w:tcPr>
          <w:p>
            <w:pPr>
              <w:jc w:val="left"/>
            </w:pPr>
            <w:r>
              <w:rPr>
                <w:rFonts w:ascii="Times New Roman" w:hAnsi="Times New Roman"/>
                <w:b/>
                <w:sz w:val="16"/>
              </w:rPr>
              <w:t>DeviceProtection</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hardware warranty/insurance coverage</w:t>
            </w:r>
          </w:p>
        </w:tc>
      </w:tr>
      <w:tr>
        <w:tc>
          <w:tcPr>
            <w:tcW w:type="dxa" w:w="2160"/>
            <w:tcMar>
              <w:top w:w="35" w:type="dxa"/>
              <w:bottom w:w="35" w:type="dxa"/>
              <w:left w:w="60" w:type="dxa"/>
              <w:right w:w="60" w:type="dxa"/>
            </w:tcMar>
          </w:tcPr>
          <w:p>
            <w:pPr>
              <w:jc w:val="left"/>
            </w:pPr>
            <w:r>
              <w:rPr>
                <w:rFonts w:ascii="Times New Roman" w:hAnsi="Times New Roman"/>
                <w:b/>
                <w:sz w:val="16"/>
              </w:rPr>
              <w:t>TechSupport</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premium technical assistance tier</w:t>
            </w:r>
          </w:p>
        </w:tc>
      </w:tr>
      <w:tr>
        <w:tc>
          <w:tcPr>
            <w:tcW w:type="dxa" w:w="2160"/>
            <w:tcMar>
              <w:top w:w="35" w:type="dxa"/>
              <w:bottom w:w="35" w:type="dxa"/>
              <w:left w:w="60" w:type="dxa"/>
              <w:right w:w="60" w:type="dxa"/>
            </w:tcMar>
          </w:tcPr>
          <w:p>
            <w:pPr>
              <w:jc w:val="left"/>
            </w:pPr>
            <w:r>
              <w:rPr>
                <w:rFonts w:ascii="Times New Roman" w:hAnsi="Times New Roman"/>
                <w:b/>
                <w:sz w:val="16"/>
              </w:rPr>
              <w:t>StreamingTV</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digital IPTV streaming service</w:t>
            </w:r>
          </w:p>
        </w:tc>
      </w:tr>
      <w:tr>
        <w:tc>
          <w:tcPr>
            <w:tcW w:type="dxa" w:w="2160"/>
            <w:tcMar>
              <w:top w:w="35" w:type="dxa"/>
              <w:bottom w:w="35" w:type="dxa"/>
              <w:left w:w="60" w:type="dxa"/>
              <w:right w:w="60" w:type="dxa"/>
            </w:tcMar>
          </w:tcPr>
          <w:p>
            <w:pPr>
              <w:jc w:val="left"/>
            </w:pPr>
            <w:r>
              <w:rPr>
                <w:rFonts w:ascii="Times New Roman" w:hAnsi="Times New Roman"/>
                <w:b/>
                <w:sz w:val="16"/>
              </w:rPr>
              <w:t>StreamingMovies</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Yes, No, No internet</w:t>
            </w:r>
          </w:p>
        </w:tc>
        <w:tc>
          <w:tcPr>
            <w:tcW w:type="dxa" w:w="3888"/>
            <w:tcMar>
              <w:top w:w="35" w:type="dxa"/>
              <w:bottom w:w="35" w:type="dxa"/>
              <w:left w:w="60" w:type="dxa"/>
              <w:right w:w="60" w:type="dxa"/>
            </w:tcMar>
          </w:tcPr>
          <w:p>
            <w:pPr>
              <w:jc w:val="left"/>
            </w:pPr>
            <w:r>
              <w:rPr>
                <w:rFonts w:ascii="Times New Roman" w:hAnsi="Times New Roman"/>
                <w:sz w:val="16"/>
              </w:rPr>
              <w:t>Subscribed to on-demand digital movie catalog</w:t>
            </w:r>
          </w:p>
        </w:tc>
      </w:tr>
      <w:tr>
        <w:tc>
          <w:tcPr>
            <w:tcW w:type="dxa" w:w="2160"/>
            <w:tcMar>
              <w:top w:w="35" w:type="dxa"/>
              <w:bottom w:w="35" w:type="dxa"/>
              <w:left w:w="60" w:type="dxa"/>
              <w:right w:w="60" w:type="dxa"/>
            </w:tcMar>
          </w:tcPr>
          <w:p>
            <w:pPr>
              <w:jc w:val="left"/>
            </w:pPr>
            <w:r>
              <w:rPr>
                <w:rFonts w:ascii="Times New Roman" w:hAnsi="Times New Roman"/>
                <w:b/>
                <w:sz w:val="16"/>
              </w:rPr>
              <w:t>Contract</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Month-to-month, 1yr, 2yr</w:t>
            </w:r>
          </w:p>
        </w:tc>
        <w:tc>
          <w:tcPr>
            <w:tcW w:type="dxa" w:w="3888"/>
            <w:tcMar>
              <w:top w:w="35" w:type="dxa"/>
              <w:bottom w:w="35" w:type="dxa"/>
              <w:left w:w="60" w:type="dxa"/>
              <w:right w:w="60" w:type="dxa"/>
            </w:tcMar>
          </w:tcPr>
          <w:p>
            <w:pPr>
              <w:jc w:val="left"/>
            </w:pPr>
            <w:r>
              <w:rPr>
                <w:rFonts w:ascii="Times New Roman" w:hAnsi="Times New Roman"/>
                <w:sz w:val="16"/>
              </w:rPr>
              <w:t>Contractual commitment structure and billing horizon</w:t>
            </w:r>
          </w:p>
        </w:tc>
      </w:tr>
      <w:tr>
        <w:tc>
          <w:tcPr>
            <w:tcW w:type="dxa" w:w="2160"/>
            <w:tcMar>
              <w:top w:w="35" w:type="dxa"/>
              <w:bottom w:w="35" w:type="dxa"/>
              <w:left w:w="60" w:type="dxa"/>
              <w:right w:w="60" w:type="dxa"/>
            </w:tcMar>
          </w:tcPr>
          <w:p>
            <w:pPr>
              <w:jc w:val="left"/>
            </w:pPr>
            <w:r>
              <w:rPr>
                <w:rFonts w:ascii="Times New Roman" w:hAnsi="Times New Roman"/>
                <w:b/>
                <w:sz w:val="16"/>
              </w:rPr>
              <w:t>PaperlessBilling</w:t>
            </w:r>
          </w:p>
        </w:tc>
        <w:tc>
          <w:tcPr>
            <w:tcW w:type="dxa" w:w="1440"/>
            <w:tcMar>
              <w:top w:w="35" w:type="dxa"/>
              <w:bottom w:w="35" w:type="dxa"/>
              <w:left w:w="60" w:type="dxa"/>
              <w:right w:w="60" w:type="dxa"/>
            </w:tcMar>
          </w:tcPr>
          <w:p>
            <w:pPr>
              <w:jc w:val="left"/>
            </w:pPr>
            <w:r>
              <w:rPr>
                <w:rFonts w:ascii="Times New Roman" w:hAnsi="Times New Roman"/>
                <w:sz w:val="16"/>
              </w:rPr>
              <w:t>Binary</w:t>
            </w:r>
          </w:p>
        </w:tc>
        <w:tc>
          <w:tcPr>
            <w:tcW w:type="dxa" w:w="1872"/>
            <w:tcMar>
              <w:top w:w="35" w:type="dxa"/>
              <w:bottom w:w="35" w:type="dxa"/>
              <w:left w:w="60" w:type="dxa"/>
              <w:right w:w="60" w:type="dxa"/>
            </w:tcMar>
          </w:tcPr>
          <w:p>
            <w:pPr>
              <w:jc w:val="left"/>
            </w:pPr>
            <w:r>
              <w:rPr>
                <w:rFonts w:ascii="Times New Roman" w:hAnsi="Times New Roman"/>
                <w:sz w:val="16"/>
              </w:rPr>
              <w:t>Yes, No</w:t>
            </w:r>
          </w:p>
        </w:tc>
        <w:tc>
          <w:tcPr>
            <w:tcW w:type="dxa" w:w="3888"/>
            <w:tcMar>
              <w:top w:w="35" w:type="dxa"/>
              <w:bottom w:w="35" w:type="dxa"/>
              <w:left w:w="60" w:type="dxa"/>
              <w:right w:w="60" w:type="dxa"/>
            </w:tcMar>
          </w:tcPr>
          <w:p>
            <w:pPr>
              <w:jc w:val="left"/>
            </w:pPr>
            <w:r>
              <w:rPr>
                <w:rFonts w:ascii="Times New Roman" w:hAnsi="Times New Roman"/>
                <w:sz w:val="16"/>
              </w:rPr>
              <w:t>Opted into digital electronic billing statements</w:t>
            </w:r>
          </w:p>
        </w:tc>
      </w:tr>
      <w:tr>
        <w:tc>
          <w:tcPr>
            <w:tcW w:type="dxa" w:w="2160"/>
            <w:tcMar>
              <w:top w:w="35" w:type="dxa"/>
              <w:bottom w:w="35" w:type="dxa"/>
              <w:left w:w="60" w:type="dxa"/>
              <w:right w:w="60" w:type="dxa"/>
            </w:tcMar>
          </w:tcPr>
          <w:p>
            <w:pPr>
              <w:jc w:val="left"/>
            </w:pPr>
            <w:r>
              <w:rPr>
                <w:rFonts w:ascii="Times New Roman" w:hAnsi="Times New Roman"/>
                <w:b/>
                <w:sz w:val="16"/>
              </w:rPr>
              <w:t>PaymentMethod</w:t>
            </w:r>
          </w:p>
        </w:tc>
        <w:tc>
          <w:tcPr>
            <w:tcW w:type="dxa" w:w="1440"/>
            <w:tcMar>
              <w:top w:w="35" w:type="dxa"/>
              <w:bottom w:w="35" w:type="dxa"/>
              <w:left w:w="60" w:type="dxa"/>
              <w:right w:w="60" w:type="dxa"/>
            </w:tcMar>
          </w:tcPr>
          <w:p>
            <w:pPr>
              <w:jc w:val="left"/>
            </w:pPr>
            <w:r>
              <w:rPr>
                <w:rFonts w:ascii="Times New Roman" w:hAnsi="Times New Roman"/>
                <w:sz w:val="16"/>
              </w:rPr>
              <w:t>Categorical</w:t>
            </w:r>
          </w:p>
        </w:tc>
        <w:tc>
          <w:tcPr>
            <w:tcW w:type="dxa" w:w="1872"/>
            <w:tcMar>
              <w:top w:w="35" w:type="dxa"/>
              <w:bottom w:w="35" w:type="dxa"/>
              <w:left w:w="60" w:type="dxa"/>
              <w:right w:w="60" w:type="dxa"/>
            </w:tcMar>
          </w:tcPr>
          <w:p>
            <w:pPr>
              <w:jc w:val="left"/>
            </w:pPr>
            <w:r>
              <w:rPr>
                <w:rFonts w:ascii="Times New Roman" w:hAnsi="Times New Roman"/>
                <w:sz w:val="16"/>
              </w:rPr>
              <w:t>Elec check, Mail, Bank, CC</w:t>
            </w:r>
          </w:p>
        </w:tc>
        <w:tc>
          <w:tcPr>
            <w:tcW w:type="dxa" w:w="3888"/>
            <w:tcMar>
              <w:top w:w="35" w:type="dxa"/>
              <w:bottom w:w="35" w:type="dxa"/>
              <w:left w:w="60" w:type="dxa"/>
              <w:right w:w="60" w:type="dxa"/>
            </w:tcMar>
          </w:tcPr>
          <w:p>
            <w:pPr>
              <w:jc w:val="left"/>
            </w:pPr>
            <w:r>
              <w:rPr>
                <w:rFonts w:ascii="Times New Roman" w:hAnsi="Times New Roman"/>
                <w:sz w:val="16"/>
              </w:rPr>
              <w:t>Primary billing payment settlement mechanism</w:t>
            </w:r>
          </w:p>
        </w:tc>
      </w:tr>
      <w:tr>
        <w:tc>
          <w:tcPr>
            <w:tcW w:type="dxa" w:w="2160"/>
            <w:tcMar>
              <w:top w:w="35" w:type="dxa"/>
              <w:bottom w:w="35" w:type="dxa"/>
              <w:left w:w="60" w:type="dxa"/>
              <w:right w:w="60" w:type="dxa"/>
            </w:tcMar>
          </w:tcPr>
          <w:p>
            <w:pPr>
              <w:jc w:val="left"/>
            </w:pPr>
            <w:r>
              <w:rPr>
                <w:rFonts w:ascii="Times New Roman" w:hAnsi="Times New Roman"/>
                <w:b/>
                <w:sz w:val="16"/>
              </w:rPr>
              <w:t>MonthlyCharges</w:t>
            </w:r>
          </w:p>
        </w:tc>
        <w:tc>
          <w:tcPr>
            <w:tcW w:type="dxa" w:w="1440"/>
            <w:tcMar>
              <w:top w:w="35" w:type="dxa"/>
              <w:bottom w:w="35" w:type="dxa"/>
              <w:left w:w="60" w:type="dxa"/>
              <w:right w:w="60" w:type="dxa"/>
            </w:tcMar>
          </w:tcPr>
          <w:p>
            <w:pPr>
              <w:jc w:val="left"/>
            </w:pPr>
            <w:r>
              <w:rPr>
                <w:rFonts w:ascii="Times New Roman" w:hAnsi="Times New Roman"/>
                <w:sz w:val="16"/>
              </w:rPr>
              <w:t>Continuous</w:t>
            </w:r>
          </w:p>
        </w:tc>
        <w:tc>
          <w:tcPr>
            <w:tcW w:type="dxa" w:w="1872"/>
            <w:tcMar>
              <w:top w:w="35" w:type="dxa"/>
              <w:bottom w:w="35" w:type="dxa"/>
              <w:left w:w="60" w:type="dxa"/>
              <w:right w:w="60" w:type="dxa"/>
            </w:tcMar>
          </w:tcPr>
          <w:p>
            <w:pPr>
              <w:jc w:val="left"/>
            </w:pPr>
            <w:r>
              <w:rPr>
                <w:rFonts w:ascii="Times New Roman" w:hAnsi="Times New Roman"/>
                <w:sz w:val="16"/>
              </w:rPr>
              <w:t>[$18.25, $118.75]</w:t>
            </w:r>
          </w:p>
        </w:tc>
        <w:tc>
          <w:tcPr>
            <w:tcW w:type="dxa" w:w="3888"/>
            <w:tcMar>
              <w:top w:w="35" w:type="dxa"/>
              <w:bottom w:w="35" w:type="dxa"/>
              <w:left w:w="60" w:type="dxa"/>
              <w:right w:w="60" w:type="dxa"/>
            </w:tcMar>
          </w:tcPr>
          <w:p>
            <w:pPr>
              <w:jc w:val="left"/>
            </w:pPr>
            <w:r>
              <w:rPr>
                <w:rFonts w:ascii="Times New Roman" w:hAnsi="Times New Roman"/>
                <w:sz w:val="16"/>
              </w:rPr>
              <w:t>Current recurring monthly service fee in USD</w:t>
            </w:r>
          </w:p>
        </w:tc>
      </w:tr>
      <w:tr>
        <w:tc>
          <w:tcPr>
            <w:tcW w:type="dxa" w:w="2160"/>
            <w:tcMar>
              <w:top w:w="35" w:type="dxa"/>
              <w:bottom w:w="35" w:type="dxa"/>
              <w:left w:w="60" w:type="dxa"/>
              <w:right w:w="60" w:type="dxa"/>
            </w:tcMar>
          </w:tcPr>
          <w:p>
            <w:pPr>
              <w:jc w:val="left"/>
            </w:pPr>
            <w:r>
              <w:rPr>
                <w:rFonts w:ascii="Times New Roman" w:hAnsi="Times New Roman"/>
                <w:b/>
                <w:sz w:val="16"/>
              </w:rPr>
              <w:t>TotalCharges</w:t>
            </w:r>
          </w:p>
        </w:tc>
        <w:tc>
          <w:tcPr>
            <w:tcW w:type="dxa" w:w="1440"/>
            <w:tcMar>
              <w:top w:w="35" w:type="dxa"/>
              <w:bottom w:w="35" w:type="dxa"/>
              <w:left w:w="60" w:type="dxa"/>
              <w:right w:w="60" w:type="dxa"/>
            </w:tcMar>
          </w:tcPr>
          <w:p>
            <w:pPr>
              <w:jc w:val="left"/>
            </w:pPr>
            <w:r>
              <w:rPr>
                <w:rFonts w:ascii="Times New Roman" w:hAnsi="Times New Roman"/>
                <w:sz w:val="16"/>
              </w:rPr>
              <w:t>Continuous</w:t>
            </w:r>
          </w:p>
        </w:tc>
        <w:tc>
          <w:tcPr>
            <w:tcW w:type="dxa" w:w="1872"/>
            <w:tcMar>
              <w:top w:w="35" w:type="dxa"/>
              <w:bottom w:w="35" w:type="dxa"/>
              <w:left w:w="60" w:type="dxa"/>
              <w:right w:w="60" w:type="dxa"/>
            </w:tcMar>
          </w:tcPr>
          <w:p>
            <w:pPr>
              <w:jc w:val="left"/>
            </w:pPr>
            <w:r>
              <w:rPr>
                <w:rFonts w:ascii="Times New Roman" w:hAnsi="Times New Roman"/>
                <w:sz w:val="16"/>
              </w:rPr>
              <w:t>[$18.80, $8,684.80]</w:t>
            </w:r>
          </w:p>
        </w:tc>
        <w:tc>
          <w:tcPr>
            <w:tcW w:type="dxa" w:w="3888"/>
            <w:tcMar>
              <w:top w:w="35" w:type="dxa"/>
              <w:bottom w:w="35" w:type="dxa"/>
              <w:left w:w="60" w:type="dxa"/>
              <w:right w:w="60" w:type="dxa"/>
            </w:tcMar>
          </w:tcPr>
          <w:p>
            <w:pPr>
              <w:jc w:val="left"/>
            </w:pPr>
            <w:r>
              <w:rPr>
                <w:rFonts w:ascii="Times New Roman" w:hAnsi="Times New Roman"/>
                <w:sz w:val="16"/>
              </w:rPr>
              <w:t>Cumulative historical billing amount charged in USD</w:t>
            </w:r>
          </w:p>
        </w:tc>
      </w:tr>
      <w:tr>
        <w:tc>
          <w:tcPr>
            <w:tcW w:type="dxa" w:w="2160"/>
            <w:tcMar>
              <w:top w:w="35" w:type="dxa"/>
              <w:bottom w:w="35" w:type="dxa"/>
              <w:left w:w="60" w:type="dxa"/>
              <w:right w:w="60" w:type="dxa"/>
            </w:tcMar>
          </w:tcPr>
          <w:p>
            <w:pPr>
              <w:jc w:val="left"/>
            </w:pPr>
            <w:r>
              <w:rPr>
                <w:rFonts w:ascii="Times New Roman" w:hAnsi="Times New Roman"/>
                <w:b/>
                <w:sz w:val="16"/>
              </w:rPr>
              <w:t>Churn (Event)</w:t>
            </w:r>
          </w:p>
        </w:tc>
        <w:tc>
          <w:tcPr>
            <w:tcW w:type="dxa" w:w="1440"/>
            <w:tcMar>
              <w:top w:w="35" w:type="dxa"/>
              <w:bottom w:w="35" w:type="dxa"/>
              <w:left w:w="60" w:type="dxa"/>
              <w:right w:w="60" w:type="dxa"/>
            </w:tcMar>
          </w:tcPr>
          <w:p>
            <w:pPr>
              <w:jc w:val="left"/>
            </w:pPr>
            <w:r>
              <w:rPr>
                <w:rFonts w:ascii="Times New Roman" w:hAnsi="Times New Roman"/>
                <w:sz w:val="16"/>
              </w:rPr>
              <w:t>Binary Status</w:t>
            </w:r>
          </w:p>
        </w:tc>
        <w:tc>
          <w:tcPr>
            <w:tcW w:type="dxa" w:w="1872"/>
            <w:tcMar>
              <w:top w:w="35" w:type="dxa"/>
              <w:bottom w:w="35" w:type="dxa"/>
              <w:left w:w="60" w:type="dxa"/>
              <w:right w:w="60" w:type="dxa"/>
            </w:tcMar>
          </w:tcPr>
          <w:p>
            <w:pPr>
              <w:jc w:val="left"/>
            </w:pPr>
            <w:r>
              <w:rPr>
                <w:rFonts w:ascii="Times New Roman" w:hAnsi="Times New Roman"/>
                <w:sz w:val="16"/>
              </w:rPr>
              <w:t>0 (Censored), 1 (Churned)</w:t>
            </w:r>
          </w:p>
        </w:tc>
        <w:tc>
          <w:tcPr>
            <w:tcW w:type="dxa" w:w="3888"/>
            <w:tcMar>
              <w:top w:w="35" w:type="dxa"/>
              <w:bottom w:w="35" w:type="dxa"/>
              <w:left w:w="60" w:type="dxa"/>
              <w:right w:w="60" w:type="dxa"/>
            </w:tcMar>
          </w:tcPr>
          <w:p>
            <w:pPr>
              <w:jc w:val="left"/>
            </w:pPr>
            <w:r>
              <w:rPr>
                <w:rFonts w:ascii="Times New Roman" w:hAnsi="Times New Roman"/>
                <w:sz w:val="16"/>
              </w:rPr>
              <w:t>Survival status indicator (26.54% churn rate)</w:t>
            </w:r>
          </w:p>
        </w:tc>
      </w:tr>
    </w:tbl>
    <w:p>
      <w:pPr>
        <w:spacing w:before="80" w:after="200" w:line="276" w:lineRule="auto"/>
        <w:jc w:val="center"/>
      </w:pPr>
      <w:r>
        <w:rPr>
          <w:rFonts w:ascii="Times New Roman" w:hAnsi="Times New Roman"/>
          <w:b/>
          <w:i/>
          <w:sz w:val="18"/>
        </w:rPr>
        <w:t>Table 5.1: IBM Telco Customer Churn Telemetry Feature Dictionary</w:t>
      </w:r>
    </w:p>
    <w:p>
      <w:pPr>
        <w:spacing w:before="120" w:after="60" w:line="276" w:lineRule="auto"/>
        <w:jc w:val="left"/>
      </w:pPr>
      <w:r>
        <w:rPr>
          <w:rFonts w:ascii="Times New Roman" w:hAnsi="Times New Roman"/>
          <w:b/>
          <w:color w:val="1E3C64"/>
          <w:sz w:val="23"/>
        </w:rPr>
        <w:t>5.1.2 Data Hygiene, Imputation &amp; Leakage Audit Findings</w:t>
      </w:r>
    </w:p>
    <w:p>
      <w:pPr>
        <w:spacing w:before="0" w:after="80" w:line="276" w:lineRule="auto"/>
        <w:jc w:val="both"/>
      </w:pPr>
      <w:r>
        <w:rPr>
          <w:rFonts w:ascii="Times New Roman" w:hAnsi="Times New Roman"/>
          <w:color w:val="1E232D"/>
          <w:sz w:val="22"/>
        </w:rPr>
        <w:t>The automated audit suite verified zero data leakage across the pipeline. TotalCharges contained 11 whitespace strings (' ') which were coerced to NaN and imputed using the tenure-stratified median. All scalers and encoders were fitted exclusively on the training split (5,634 accounts), and no post-churn or future telemetry leaked into the feature space.</w:t>
      </w:r>
    </w:p>
    <w:p>
      <w:pPr>
        <w:spacing w:before="120" w:after="60" w:line="276" w:lineRule="auto"/>
        <w:jc w:val="left"/>
      </w:pPr>
      <w:r>
        <w:rPr>
          <w:rFonts w:ascii="Times New Roman" w:hAnsi="Times New Roman"/>
          <w:b/>
          <w:color w:val="1E3C64"/>
          <w:sz w:val="23"/>
        </w:rPr>
        <w:t>5.1.3 Kaplan-Meier Empirical Survival Analysis</w:t>
      </w:r>
    </w:p>
    <w:p>
      <w:pPr>
        <w:spacing w:before="0" w:after="80" w:line="276" w:lineRule="auto"/>
        <w:jc w:val="both"/>
      </w:pPr>
      <w:r>
        <w:rPr>
          <w:rFonts w:ascii="Times New Roman" w:hAnsi="Times New Roman"/>
          <w:color w:val="1E232D"/>
          <w:sz w:val="22"/>
        </w:rPr>
        <w:t>Non-parametric Kaplan-Meier (KM) curves were fitted to establish baseline empirical survival probabilities across the cohort. Figures 5.1, 5.2, and 5.3 display the overall survival curve, stratification by Contract type, and stratification by Internet Service:</w:t>
      </w:r>
    </w:p>
    <w:p>
      <w:pPr>
        <w:spacing w:before="120" w:after="40"/>
        <w:jc w:val="center"/>
      </w:pPr>
      <w:r>
        <w:drawing>
          <wp:inline xmlns:a="http://schemas.openxmlformats.org/drawingml/2006/main" xmlns:pic="http://schemas.openxmlformats.org/drawingml/2006/picture">
            <wp:extent cx="4754880" cy="2641600"/>
            <wp:docPr id="7" name="Picture 7"/>
            <wp:cNvGraphicFramePr>
              <a:graphicFrameLocks noChangeAspect="1"/>
            </wp:cNvGraphicFramePr>
            <a:graphic>
              <a:graphicData uri="http://schemas.openxmlformats.org/drawingml/2006/picture">
                <pic:pic>
                  <pic:nvPicPr>
                    <pic:cNvPr id="0" name="km_overall_survival.png"/>
                    <pic:cNvPicPr/>
                  </pic:nvPicPr>
                  <pic:blipFill>
                    <a:blip r:embed="rId17"/>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3324B"/>
          <w:sz w:val="19"/>
        </w:rPr>
        <w:t>Figure 5.1: Non-Parametric Kaplan-Meier Overall Customer Survival Curve with 95% Hall-Wellner Confidence Bands</w:t>
      </w:r>
    </w:p>
    <w:p>
      <w:pPr>
        <w:spacing w:before="120" w:after="40"/>
        <w:jc w:val="center"/>
      </w:pPr>
      <w:r>
        <w:drawing>
          <wp:inline xmlns:a="http://schemas.openxmlformats.org/drawingml/2006/main" xmlns:pic="http://schemas.openxmlformats.org/drawingml/2006/picture">
            <wp:extent cx="4754880" cy="2641600"/>
            <wp:docPr id="8" name="Picture 8"/>
            <wp:cNvGraphicFramePr>
              <a:graphicFrameLocks noChangeAspect="1"/>
            </wp:cNvGraphicFramePr>
            <a:graphic>
              <a:graphicData uri="http://schemas.openxmlformats.org/drawingml/2006/picture">
                <pic:pic>
                  <pic:nvPicPr>
                    <pic:cNvPr id="0" name="km_contract_survival.png"/>
                    <pic:cNvPicPr/>
                  </pic:nvPicPr>
                  <pic:blipFill>
                    <a:blip r:embed="rId18"/>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3324B"/>
          <w:sz w:val="19"/>
        </w:rPr>
        <w:t>Figure 5.2: Kaplan-Meier Customer Survival Curves Stratified by Contractual Agreement Duration</w:t>
      </w:r>
    </w:p>
    <w:p>
      <w:pPr>
        <w:spacing w:before="120" w:after="40"/>
        <w:jc w:val="center"/>
      </w:pPr>
      <w:r>
        <w:drawing>
          <wp:inline xmlns:a="http://schemas.openxmlformats.org/drawingml/2006/main" xmlns:pic="http://schemas.openxmlformats.org/drawingml/2006/picture">
            <wp:extent cx="4754880" cy="2641600"/>
            <wp:docPr id="9" name="Picture 9"/>
            <wp:cNvGraphicFramePr>
              <a:graphicFrameLocks noChangeAspect="1"/>
            </wp:cNvGraphicFramePr>
            <a:graphic>
              <a:graphicData uri="http://schemas.openxmlformats.org/drawingml/2006/picture">
                <pic:pic>
                  <pic:nvPicPr>
                    <pic:cNvPr id="0" name="km_internet_service_survival.png"/>
                    <pic:cNvPicPr/>
                  </pic:nvPicPr>
                  <pic:blipFill>
                    <a:blip r:embed="rId19"/>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3324B"/>
          <w:sz w:val="19"/>
        </w:rPr>
        <w:t>Figure 5.3: Kaplan-Meier Customer Survival Curves Stratified by Internet Access Infrastructure</w:t>
      </w:r>
    </w:p>
    <w:p>
      <w:pPr>
        <w:spacing w:before="0" w:after="160" w:line="276" w:lineRule="auto"/>
        <w:jc w:val="both"/>
      </w:pPr>
      <w:r>
        <w:rPr>
          <w:rFonts w:ascii="Times New Roman" w:hAnsi="Times New Roman"/>
          <w:color w:val="1E232D"/>
          <w:sz w:val="22"/>
        </w:rPr>
        <w:t>As established in Figure 5.1, the median customer survival time across the overall cohort is 59.8 months. When stratified by contract (Figure 5.2), month-to-month subscribers exhibit steep attrition with a median survival of only 26.3 months, whereas two-year contract subscribers maintain an outstanding 88.4% survival rate past 72 months (log-rank p &lt; 0.0001). Fiber-optic subscribers (Figure 5.3) exhibit higher early-tenure attrition than DSL subscribers, driven by premium pricing friction.</w:t>
      </w:r>
    </w:p>
    <w:p>
      <w:pPr>
        <w:spacing w:before="120" w:after="60" w:line="276" w:lineRule="auto"/>
        <w:jc w:val="left"/>
      </w:pPr>
      <w:r>
        <w:rPr>
          <w:rFonts w:ascii="Times New Roman" w:hAnsi="Times New Roman"/>
          <w:b/>
          <w:color w:val="1E3C64"/>
          <w:sz w:val="23"/>
        </w:rPr>
        <w:t>5.1.4 Multi-Model Survival Benchmarking &amp; Performance Evaluation</w:t>
      </w:r>
    </w:p>
    <w:p>
      <w:pPr>
        <w:spacing w:before="0" w:after="80" w:line="276" w:lineRule="auto"/>
        <w:jc w:val="both"/>
      </w:pPr>
      <w:r>
        <w:rPr>
          <w:rFonts w:ascii="Times New Roman" w:hAnsi="Times New Roman"/>
          <w:color w:val="1E232D"/>
          <w:sz w:val="22"/>
        </w:rPr>
        <w:t>Four survival modeling paradigms were trained and systematically benchmarked against a standard Naive Binary Logistic Classifier. Table 5.2 summarizes the test evaluation metrics from outputs/metrics/model_comparison.json, and Figure 5.4 visualizes the benchmark:</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2592"/>
            <w:shd w:fill="152035"/>
            <w:tcMar>
              <w:top w:w="45" w:type="dxa"/>
              <w:bottom w:w="45" w:type="dxa"/>
              <w:left w:w="50" w:type="dxa"/>
              <w:right w:w="50" w:type="dxa"/>
            </w:tcMar>
          </w:tcPr>
          <w:p>
            <w:pPr>
              <w:jc w:val="left"/>
            </w:pPr>
            <w:r>
              <w:rPr>
                <w:rFonts w:ascii="Times New Roman" w:hAnsi="Times New Roman"/>
                <w:b/>
                <w:color w:val="FFFFFF"/>
                <w:sz w:val="17"/>
              </w:rPr>
              <w:t>MODEL ARCHITECTURE</w:t>
            </w:r>
          </w:p>
        </w:tc>
        <w:tc>
          <w:tcPr>
            <w:tcW w:type="dxa" w:w="1440"/>
            <w:shd w:fill="152035"/>
            <w:tcMar>
              <w:top w:w="45" w:type="dxa"/>
              <w:bottom w:w="45" w:type="dxa"/>
              <w:left w:w="50" w:type="dxa"/>
              <w:right w:w="50" w:type="dxa"/>
            </w:tcMar>
          </w:tcPr>
          <w:p>
            <w:pPr>
              <w:jc w:val="center"/>
            </w:pPr>
            <w:r>
              <w:rPr>
                <w:rFonts w:ascii="Times New Roman" w:hAnsi="Times New Roman"/>
                <w:b/>
                <w:color w:val="FFFFFF"/>
                <w:sz w:val="17"/>
              </w:rPr>
              <w:t>PARADIGM</w:t>
            </w:r>
          </w:p>
        </w:tc>
        <w:tc>
          <w:tcPr>
            <w:tcW w:type="dxa" w:w="1296"/>
            <w:shd w:fill="152035"/>
            <w:tcMar>
              <w:top w:w="45" w:type="dxa"/>
              <w:bottom w:w="45" w:type="dxa"/>
              <w:left w:w="50" w:type="dxa"/>
              <w:right w:w="50" w:type="dxa"/>
            </w:tcMar>
          </w:tcPr>
          <w:p>
            <w:pPr>
              <w:jc w:val="center"/>
            </w:pPr>
            <w:r>
              <w:rPr>
                <w:rFonts w:ascii="Times New Roman" w:hAnsi="Times New Roman"/>
                <w:b/>
                <w:color w:val="FFFFFF"/>
                <w:sz w:val="17"/>
              </w:rPr>
              <w:t>TEST C-INDEX</w:t>
            </w:r>
          </w:p>
        </w:tc>
        <w:tc>
          <w:tcPr>
            <w:tcW w:type="dxa" w:w="1296"/>
            <w:shd w:fill="152035"/>
            <w:tcMar>
              <w:top w:w="45" w:type="dxa"/>
              <w:bottom w:w="45" w:type="dxa"/>
              <w:left w:w="50" w:type="dxa"/>
              <w:right w:w="50" w:type="dxa"/>
            </w:tcMar>
          </w:tcPr>
          <w:p>
            <w:pPr>
              <w:jc w:val="center"/>
            </w:pPr>
            <w:r>
              <w:rPr>
                <w:rFonts w:ascii="Times New Roman" w:hAnsi="Times New Roman"/>
                <w:b/>
                <w:color w:val="FFFFFF"/>
                <w:sz w:val="17"/>
              </w:rPr>
              <w:t>TRAIN C-INDEX</w:t>
            </w:r>
          </w:p>
        </w:tc>
        <w:tc>
          <w:tcPr>
            <w:tcW w:type="dxa" w:w="1440"/>
            <w:shd w:fill="152035"/>
            <w:tcMar>
              <w:top w:w="45" w:type="dxa"/>
              <w:bottom w:w="45" w:type="dxa"/>
              <w:left w:w="50" w:type="dxa"/>
              <w:right w:w="50" w:type="dxa"/>
            </w:tcMar>
          </w:tcPr>
          <w:p>
            <w:pPr>
              <w:jc w:val="center"/>
            </w:pPr>
            <w:r>
              <w:rPr>
                <w:rFonts w:ascii="Times New Roman" w:hAnsi="Times New Roman"/>
                <w:b/>
                <w:color w:val="FFFFFF"/>
                <w:sz w:val="17"/>
              </w:rPr>
              <w:t>BRIER (90D)</w:t>
            </w:r>
          </w:p>
        </w:tc>
        <w:tc>
          <w:tcPr>
            <w:tcW w:type="dxa" w:w="1296"/>
            <w:shd w:fill="152035"/>
            <w:tcMar>
              <w:top w:w="45" w:type="dxa"/>
              <w:bottom w:w="45" w:type="dxa"/>
              <w:left w:w="50" w:type="dxa"/>
              <w:right w:w="50" w:type="dxa"/>
            </w:tcMar>
          </w:tcPr>
          <w:p>
            <w:pPr>
              <w:jc w:val="center"/>
            </w:pPr>
            <w:r>
              <w:rPr>
                <w:rFonts w:ascii="Times New Roman" w:hAnsi="Times New Roman"/>
                <w:b/>
                <w:color w:val="FFFFFF"/>
                <w:sz w:val="17"/>
              </w:rPr>
              <w:t>RANKING</w:t>
            </w:r>
          </w:p>
        </w:tc>
      </w:tr>
      <w:tr>
        <w:tc>
          <w:tcPr>
            <w:tcW w:type="dxa" w:w="2592"/>
            <w:tcMar>
              <w:top w:w="35" w:type="dxa"/>
              <w:bottom w:w="35" w:type="dxa"/>
              <w:left w:w="50" w:type="dxa"/>
              <w:right w:w="50" w:type="dxa"/>
            </w:tcMar>
          </w:tcPr>
          <w:p>
            <w:pPr>
              <w:jc w:val="left"/>
            </w:pPr>
            <w:r>
              <w:rPr>
                <w:rFonts w:ascii="Times New Roman" w:hAnsi="Times New Roman"/>
                <w:b/>
                <w:sz w:val="17"/>
              </w:rPr>
              <w:t>Weibull AFT (Parametric)</w:t>
            </w:r>
          </w:p>
        </w:tc>
        <w:tc>
          <w:tcPr>
            <w:tcW w:type="dxa" w:w="1440"/>
            <w:tcMar>
              <w:top w:w="35" w:type="dxa"/>
              <w:bottom w:w="35" w:type="dxa"/>
              <w:left w:w="50" w:type="dxa"/>
              <w:right w:w="50" w:type="dxa"/>
            </w:tcMar>
          </w:tcPr>
          <w:p>
            <w:pPr>
              <w:jc w:val="center"/>
            </w:pPr>
            <w:r>
              <w:rPr>
                <w:rFonts w:ascii="Times New Roman" w:hAnsi="Times New Roman"/>
                <w:sz w:val="17"/>
              </w:rPr>
              <w:t>AFT</w:t>
            </w:r>
          </w:p>
        </w:tc>
        <w:tc>
          <w:tcPr>
            <w:tcW w:type="dxa" w:w="1296"/>
            <w:tcMar>
              <w:top w:w="35" w:type="dxa"/>
              <w:bottom w:w="35" w:type="dxa"/>
              <w:left w:w="50" w:type="dxa"/>
              <w:right w:w="50" w:type="dxa"/>
            </w:tcMar>
          </w:tcPr>
          <w:p>
            <w:pPr>
              <w:jc w:val="center"/>
            </w:pPr>
            <w:r>
              <w:rPr>
                <w:rFonts w:ascii="Times New Roman" w:hAnsi="Times New Roman"/>
                <w:b/>
                <w:color w:val="146E2D"/>
                <w:sz w:val="17"/>
              </w:rPr>
              <w:t>0.8697</w:t>
            </w:r>
          </w:p>
        </w:tc>
        <w:tc>
          <w:tcPr>
            <w:tcW w:type="dxa" w:w="1296"/>
            <w:tcMar>
              <w:top w:w="35" w:type="dxa"/>
              <w:bottom w:w="35" w:type="dxa"/>
              <w:left w:w="50" w:type="dxa"/>
              <w:right w:w="50" w:type="dxa"/>
            </w:tcMar>
          </w:tcPr>
          <w:p>
            <w:pPr>
              <w:jc w:val="center"/>
            </w:pPr>
            <w:r>
              <w:rPr>
                <w:rFonts w:ascii="Times New Roman" w:hAnsi="Times New Roman"/>
                <w:sz w:val="17"/>
              </w:rPr>
              <w:t>0.8652</w:t>
            </w:r>
          </w:p>
        </w:tc>
        <w:tc>
          <w:tcPr>
            <w:tcW w:type="dxa" w:w="1440"/>
            <w:tcMar>
              <w:top w:w="35" w:type="dxa"/>
              <w:bottom w:w="35" w:type="dxa"/>
              <w:left w:w="50" w:type="dxa"/>
              <w:right w:w="50" w:type="dxa"/>
            </w:tcMar>
          </w:tcPr>
          <w:p>
            <w:pPr>
              <w:jc w:val="center"/>
            </w:pPr>
            <w:r>
              <w:rPr>
                <w:rFonts w:ascii="Times New Roman" w:hAnsi="Times New Roman"/>
                <w:sz w:val="17"/>
              </w:rPr>
              <w:t>0.0818</w:t>
            </w:r>
          </w:p>
        </w:tc>
        <w:tc>
          <w:tcPr>
            <w:tcW w:type="dxa" w:w="1296"/>
            <w:tcMar>
              <w:top w:w="35" w:type="dxa"/>
              <w:bottom w:w="35" w:type="dxa"/>
              <w:left w:w="50" w:type="dxa"/>
              <w:right w:w="50" w:type="dxa"/>
            </w:tcMar>
          </w:tcPr>
          <w:p>
            <w:pPr>
              <w:jc w:val="center"/>
            </w:pPr>
            <w:r>
              <w:rPr>
                <w:rFonts w:ascii="Times New Roman" w:hAnsi="Times New Roman"/>
                <w:sz w:val="17"/>
              </w:rPr>
              <w:t>Rank 1 (Best)</w:t>
            </w:r>
          </w:p>
        </w:tc>
      </w:tr>
      <w:tr>
        <w:tc>
          <w:tcPr>
            <w:tcW w:type="dxa" w:w="2592"/>
            <w:tcMar>
              <w:top w:w="35" w:type="dxa"/>
              <w:bottom w:w="35" w:type="dxa"/>
              <w:left w:w="50" w:type="dxa"/>
              <w:right w:w="50" w:type="dxa"/>
            </w:tcMar>
          </w:tcPr>
          <w:p>
            <w:pPr>
              <w:jc w:val="left"/>
            </w:pPr>
            <w:r>
              <w:rPr>
                <w:rFonts w:ascii="Times New Roman" w:hAnsi="Times New Roman"/>
                <w:b/>
                <w:sz w:val="17"/>
              </w:rPr>
              <w:t>Cox Proportional Hazards</w:t>
            </w:r>
          </w:p>
        </w:tc>
        <w:tc>
          <w:tcPr>
            <w:tcW w:type="dxa" w:w="1440"/>
            <w:tcMar>
              <w:top w:w="35" w:type="dxa"/>
              <w:bottom w:w="35" w:type="dxa"/>
              <w:left w:w="50" w:type="dxa"/>
              <w:right w:w="50" w:type="dxa"/>
            </w:tcMar>
          </w:tcPr>
          <w:p>
            <w:pPr>
              <w:jc w:val="center"/>
            </w:pPr>
            <w:r>
              <w:rPr>
                <w:rFonts w:ascii="Times New Roman" w:hAnsi="Times New Roman"/>
                <w:sz w:val="17"/>
              </w:rPr>
              <w:t>Semi-Parametric</w:t>
            </w:r>
          </w:p>
        </w:tc>
        <w:tc>
          <w:tcPr>
            <w:tcW w:type="dxa" w:w="1296"/>
            <w:tcMar>
              <w:top w:w="35" w:type="dxa"/>
              <w:bottom w:w="35" w:type="dxa"/>
              <w:left w:w="50" w:type="dxa"/>
              <w:right w:w="50" w:type="dxa"/>
            </w:tcMar>
          </w:tcPr>
          <w:p>
            <w:pPr>
              <w:jc w:val="center"/>
            </w:pPr>
            <w:r>
              <w:rPr>
                <w:rFonts w:ascii="Times New Roman" w:hAnsi="Times New Roman"/>
                <w:b/>
                <w:color w:val="146E2D"/>
                <w:sz w:val="17"/>
              </w:rPr>
              <w:t>0.8694</w:t>
            </w:r>
          </w:p>
        </w:tc>
        <w:tc>
          <w:tcPr>
            <w:tcW w:type="dxa" w:w="1296"/>
            <w:tcMar>
              <w:top w:w="35" w:type="dxa"/>
              <w:bottom w:w="35" w:type="dxa"/>
              <w:left w:w="50" w:type="dxa"/>
              <w:right w:w="50" w:type="dxa"/>
            </w:tcMar>
          </w:tcPr>
          <w:p>
            <w:pPr>
              <w:jc w:val="center"/>
            </w:pPr>
            <w:r>
              <w:rPr>
                <w:rFonts w:ascii="Times New Roman" w:hAnsi="Times New Roman"/>
                <w:sz w:val="17"/>
              </w:rPr>
              <w:t>0.8648</w:t>
            </w:r>
          </w:p>
        </w:tc>
        <w:tc>
          <w:tcPr>
            <w:tcW w:type="dxa" w:w="1440"/>
            <w:tcMar>
              <w:top w:w="35" w:type="dxa"/>
              <w:bottom w:w="35" w:type="dxa"/>
              <w:left w:w="50" w:type="dxa"/>
              <w:right w:w="50" w:type="dxa"/>
            </w:tcMar>
          </w:tcPr>
          <w:p>
            <w:pPr>
              <w:jc w:val="center"/>
            </w:pPr>
            <w:r>
              <w:rPr>
                <w:rFonts w:ascii="Times New Roman" w:hAnsi="Times New Roman"/>
                <w:sz w:val="17"/>
              </w:rPr>
              <w:t>0.0825</w:t>
            </w:r>
          </w:p>
        </w:tc>
        <w:tc>
          <w:tcPr>
            <w:tcW w:type="dxa" w:w="1296"/>
            <w:tcMar>
              <w:top w:w="35" w:type="dxa"/>
              <w:bottom w:w="35" w:type="dxa"/>
              <w:left w:w="50" w:type="dxa"/>
              <w:right w:w="50" w:type="dxa"/>
            </w:tcMar>
          </w:tcPr>
          <w:p>
            <w:pPr>
              <w:jc w:val="center"/>
            </w:pPr>
            <w:r>
              <w:rPr>
                <w:rFonts w:ascii="Times New Roman" w:hAnsi="Times New Roman"/>
                <w:sz w:val="17"/>
              </w:rPr>
              <w:t>Rank 2</w:t>
            </w:r>
          </w:p>
        </w:tc>
      </w:tr>
      <w:tr>
        <w:tc>
          <w:tcPr>
            <w:tcW w:type="dxa" w:w="2592"/>
            <w:tcMar>
              <w:top w:w="35" w:type="dxa"/>
              <w:bottom w:w="35" w:type="dxa"/>
              <w:left w:w="50" w:type="dxa"/>
              <w:right w:w="50" w:type="dxa"/>
            </w:tcMar>
          </w:tcPr>
          <w:p>
            <w:pPr>
              <w:jc w:val="left"/>
            </w:pPr>
            <w:r>
              <w:rPr>
                <w:rFonts w:ascii="Times New Roman" w:hAnsi="Times New Roman"/>
                <w:b/>
                <w:sz w:val="17"/>
              </w:rPr>
              <w:t>Random Survival Forests</w:t>
            </w:r>
          </w:p>
        </w:tc>
        <w:tc>
          <w:tcPr>
            <w:tcW w:type="dxa" w:w="1440"/>
            <w:tcMar>
              <w:top w:w="35" w:type="dxa"/>
              <w:bottom w:w="35" w:type="dxa"/>
              <w:left w:w="50" w:type="dxa"/>
              <w:right w:w="50" w:type="dxa"/>
            </w:tcMar>
          </w:tcPr>
          <w:p>
            <w:pPr>
              <w:jc w:val="center"/>
            </w:pPr>
            <w:r>
              <w:rPr>
                <w:rFonts w:ascii="Times New Roman" w:hAnsi="Times New Roman"/>
                <w:sz w:val="17"/>
              </w:rPr>
              <w:t>Non-Linear Ensemble</w:t>
            </w:r>
          </w:p>
        </w:tc>
        <w:tc>
          <w:tcPr>
            <w:tcW w:type="dxa" w:w="1296"/>
            <w:tcMar>
              <w:top w:w="35" w:type="dxa"/>
              <w:bottom w:w="35" w:type="dxa"/>
              <w:left w:w="50" w:type="dxa"/>
              <w:right w:w="50" w:type="dxa"/>
            </w:tcMar>
          </w:tcPr>
          <w:p>
            <w:pPr>
              <w:jc w:val="center"/>
            </w:pPr>
            <w:r>
              <w:rPr>
                <w:rFonts w:ascii="Times New Roman" w:hAnsi="Times New Roman"/>
                <w:sz w:val="17"/>
              </w:rPr>
              <w:t>0.8412</w:t>
            </w:r>
          </w:p>
        </w:tc>
        <w:tc>
          <w:tcPr>
            <w:tcW w:type="dxa" w:w="1296"/>
            <w:tcMar>
              <w:top w:w="35" w:type="dxa"/>
              <w:bottom w:w="35" w:type="dxa"/>
              <w:left w:w="50" w:type="dxa"/>
              <w:right w:w="50" w:type="dxa"/>
            </w:tcMar>
          </w:tcPr>
          <w:p>
            <w:pPr>
              <w:jc w:val="center"/>
            </w:pPr>
            <w:r>
              <w:rPr>
                <w:rFonts w:ascii="Times New Roman" w:hAnsi="Times New Roman"/>
                <w:sz w:val="17"/>
              </w:rPr>
              <w:t>0.9124</w:t>
            </w:r>
          </w:p>
        </w:tc>
        <w:tc>
          <w:tcPr>
            <w:tcW w:type="dxa" w:w="1440"/>
            <w:tcMar>
              <w:top w:w="35" w:type="dxa"/>
              <w:bottom w:w="35" w:type="dxa"/>
              <w:left w:w="50" w:type="dxa"/>
              <w:right w:w="50" w:type="dxa"/>
            </w:tcMar>
          </w:tcPr>
          <w:p>
            <w:pPr>
              <w:jc w:val="center"/>
            </w:pPr>
            <w:r>
              <w:rPr>
                <w:rFonts w:ascii="Times New Roman" w:hAnsi="Times New Roman"/>
                <w:sz w:val="17"/>
              </w:rPr>
              <w:t>0.0984</w:t>
            </w:r>
          </w:p>
        </w:tc>
        <w:tc>
          <w:tcPr>
            <w:tcW w:type="dxa" w:w="1296"/>
            <w:tcMar>
              <w:top w:w="35" w:type="dxa"/>
              <w:bottom w:w="35" w:type="dxa"/>
              <w:left w:w="50" w:type="dxa"/>
              <w:right w:w="50" w:type="dxa"/>
            </w:tcMar>
          </w:tcPr>
          <w:p>
            <w:pPr>
              <w:jc w:val="center"/>
            </w:pPr>
            <w:r>
              <w:rPr>
                <w:rFonts w:ascii="Times New Roman" w:hAnsi="Times New Roman"/>
                <w:sz w:val="17"/>
              </w:rPr>
              <w:t>Rank 3</w:t>
            </w:r>
          </w:p>
        </w:tc>
      </w:tr>
      <w:tr>
        <w:tc>
          <w:tcPr>
            <w:tcW w:type="dxa" w:w="2592"/>
            <w:tcMar>
              <w:top w:w="35" w:type="dxa"/>
              <w:bottom w:w="35" w:type="dxa"/>
              <w:left w:w="50" w:type="dxa"/>
              <w:right w:w="50" w:type="dxa"/>
            </w:tcMar>
          </w:tcPr>
          <w:p>
            <w:pPr>
              <w:jc w:val="left"/>
            </w:pPr>
            <w:r>
              <w:rPr>
                <w:rFonts w:ascii="Times New Roman" w:hAnsi="Times New Roman"/>
                <w:b/>
                <w:sz w:val="17"/>
              </w:rPr>
              <w:t>Kaplan-Meier Baseline</w:t>
            </w:r>
          </w:p>
        </w:tc>
        <w:tc>
          <w:tcPr>
            <w:tcW w:type="dxa" w:w="1440"/>
            <w:tcMar>
              <w:top w:w="35" w:type="dxa"/>
              <w:bottom w:w="35" w:type="dxa"/>
              <w:left w:w="50" w:type="dxa"/>
              <w:right w:w="50" w:type="dxa"/>
            </w:tcMar>
          </w:tcPr>
          <w:p>
            <w:pPr>
              <w:jc w:val="center"/>
            </w:pPr>
            <w:r>
              <w:rPr>
                <w:rFonts w:ascii="Times New Roman" w:hAnsi="Times New Roman"/>
                <w:sz w:val="17"/>
              </w:rPr>
              <w:t>Non-Parametric</w:t>
            </w:r>
          </w:p>
        </w:tc>
        <w:tc>
          <w:tcPr>
            <w:tcW w:type="dxa" w:w="1296"/>
            <w:tcMar>
              <w:top w:w="35" w:type="dxa"/>
              <w:bottom w:w="35" w:type="dxa"/>
              <w:left w:w="50" w:type="dxa"/>
              <w:right w:w="50" w:type="dxa"/>
            </w:tcMar>
          </w:tcPr>
          <w:p>
            <w:pPr>
              <w:jc w:val="center"/>
            </w:pPr>
            <w:r>
              <w:rPr>
                <w:rFonts w:ascii="Times New Roman" w:hAnsi="Times New Roman"/>
                <w:sz w:val="17"/>
              </w:rPr>
              <w:t>0.5000</w:t>
            </w:r>
          </w:p>
        </w:tc>
        <w:tc>
          <w:tcPr>
            <w:tcW w:type="dxa" w:w="1296"/>
            <w:tcMar>
              <w:top w:w="35" w:type="dxa"/>
              <w:bottom w:w="35" w:type="dxa"/>
              <w:left w:w="50" w:type="dxa"/>
              <w:right w:w="50" w:type="dxa"/>
            </w:tcMar>
          </w:tcPr>
          <w:p>
            <w:pPr>
              <w:jc w:val="center"/>
            </w:pPr>
            <w:r>
              <w:rPr>
                <w:rFonts w:ascii="Times New Roman" w:hAnsi="Times New Roman"/>
                <w:sz w:val="17"/>
              </w:rPr>
              <w:t>0.5000</w:t>
            </w:r>
          </w:p>
        </w:tc>
        <w:tc>
          <w:tcPr>
            <w:tcW w:type="dxa" w:w="1440"/>
            <w:tcMar>
              <w:top w:w="35" w:type="dxa"/>
              <w:bottom w:w="35" w:type="dxa"/>
              <w:left w:w="50" w:type="dxa"/>
              <w:right w:w="50" w:type="dxa"/>
            </w:tcMar>
          </w:tcPr>
          <w:p>
            <w:pPr>
              <w:jc w:val="center"/>
            </w:pPr>
            <w:r>
              <w:rPr>
                <w:rFonts w:ascii="Times New Roman" w:hAnsi="Times New Roman"/>
                <w:sz w:val="17"/>
              </w:rPr>
              <w:t>0.1942</w:t>
            </w:r>
          </w:p>
        </w:tc>
        <w:tc>
          <w:tcPr>
            <w:tcW w:type="dxa" w:w="1296"/>
            <w:tcMar>
              <w:top w:w="35" w:type="dxa"/>
              <w:bottom w:w="35" w:type="dxa"/>
              <w:left w:w="50" w:type="dxa"/>
              <w:right w:w="50" w:type="dxa"/>
            </w:tcMar>
          </w:tcPr>
          <w:p>
            <w:pPr>
              <w:jc w:val="center"/>
            </w:pPr>
            <w:r>
              <w:rPr>
                <w:rFonts w:ascii="Times New Roman" w:hAnsi="Times New Roman"/>
                <w:sz w:val="17"/>
              </w:rPr>
              <w:t>Baseline</w:t>
            </w:r>
          </w:p>
        </w:tc>
      </w:tr>
      <w:tr>
        <w:tc>
          <w:tcPr>
            <w:tcW w:type="dxa" w:w="2592"/>
            <w:tcMar>
              <w:top w:w="35" w:type="dxa"/>
              <w:bottom w:w="35" w:type="dxa"/>
              <w:left w:w="50" w:type="dxa"/>
              <w:right w:w="50" w:type="dxa"/>
            </w:tcMar>
          </w:tcPr>
          <w:p>
            <w:pPr>
              <w:jc w:val="left"/>
            </w:pPr>
            <w:r>
              <w:rPr>
                <w:rFonts w:ascii="Times New Roman" w:hAnsi="Times New Roman"/>
                <w:b/>
                <w:sz w:val="17"/>
              </w:rPr>
              <w:t>Naive Binary Logistic</w:t>
            </w:r>
          </w:p>
        </w:tc>
        <w:tc>
          <w:tcPr>
            <w:tcW w:type="dxa" w:w="1440"/>
            <w:tcMar>
              <w:top w:w="35" w:type="dxa"/>
              <w:bottom w:w="35" w:type="dxa"/>
              <w:left w:w="50" w:type="dxa"/>
              <w:right w:w="50" w:type="dxa"/>
            </w:tcMar>
          </w:tcPr>
          <w:p>
            <w:pPr>
              <w:jc w:val="center"/>
            </w:pPr>
            <w:r>
              <w:rPr>
                <w:rFonts w:ascii="Times New Roman" w:hAnsi="Times New Roman"/>
                <w:sz w:val="17"/>
              </w:rPr>
              <w:t>Binary Classifier</w:t>
            </w:r>
          </w:p>
        </w:tc>
        <w:tc>
          <w:tcPr>
            <w:tcW w:type="dxa" w:w="1296"/>
            <w:tcMar>
              <w:top w:w="35" w:type="dxa"/>
              <w:bottom w:w="35" w:type="dxa"/>
              <w:left w:w="50" w:type="dxa"/>
              <w:right w:w="50" w:type="dxa"/>
            </w:tcMar>
          </w:tcPr>
          <w:p>
            <w:pPr>
              <w:jc w:val="center"/>
            </w:pPr>
            <w:r>
              <w:rPr>
                <w:rFonts w:ascii="Times New Roman" w:hAnsi="Times New Roman"/>
                <w:sz w:val="17"/>
              </w:rPr>
              <w:t>0.8283</w:t>
            </w:r>
          </w:p>
        </w:tc>
        <w:tc>
          <w:tcPr>
            <w:tcW w:type="dxa" w:w="1296"/>
            <w:tcMar>
              <w:top w:w="35" w:type="dxa"/>
              <w:bottom w:w="35" w:type="dxa"/>
              <w:left w:w="50" w:type="dxa"/>
              <w:right w:w="50" w:type="dxa"/>
            </w:tcMar>
          </w:tcPr>
          <w:p>
            <w:pPr>
              <w:jc w:val="center"/>
            </w:pPr>
            <w:r>
              <w:rPr>
                <w:rFonts w:ascii="Times New Roman" w:hAnsi="Times New Roman"/>
                <w:sz w:val="17"/>
              </w:rPr>
              <w:t>0.8310</w:t>
            </w:r>
          </w:p>
        </w:tc>
        <w:tc>
          <w:tcPr>
            <w:tcW w:type="dxa" w:w="1440"/>
            <w:tcMar>
              <w:top w:w="35" w:type="dxa"/>
              <w:bottom w:w="35" w:type="dxa"/>
              <w:left w:w="50" w:type="dxa"/>
              <w:right w:w="50" w:type="dxa"/>
            </w:tcMar>
          </w:tcPr>
          <w:p>
            <w:pPr>
              <w:jc w:val="center"/>
            </w:pPr>
            <w:r>
              <w:rPr>
                <w:rFonts w:ascii="Times New Roman" w:hAnsi="Times New Roman"/>
                <w:sz w:val="17"/>
              </w:rPr>
              <w:t>0.1336</w:t>
            </w:r>
          </w:p>
        </w:tc>
        <w:tc>
          <w:tcPr>
            <w:tcW w:type="dxa" w:w="1296"/>
            <w:tcMar>
              <w:top w:w="35" w:type="dxa"/>
              <w:bottom w:w="35" w:type="dxa"/>
              <w:left w:w="50" w:type="dxa"/>
              <w:right w:w="50" w:type="dxa"/>
            </w:tcMar>
          </w:tcPr>
          <w:p>
            <w:pPr>
              <w:jc w:val="center"/>
            </w:pPr>
            <w:r>
              <w:rPr>
                <w:rFonts w:ascii="Times New Roman" w:hAnsi="Times New Roman"/>
                <w:sz w:val="17"/>
              </w:rPr>
              <w:t>Industry Standard</w:t>
            </w:r>
          </w:p>
        </w:tc>
      </w:tr>
    </w:tbl>
    <w:p>
      <w:pPr>
        <w:spacing w:before="80" w:after="200" w:line="276" w:lineRule="auto"/>
        <w:jc w:val="center"/>
      </w:pPr>
      <w:r>
        <w:rPr>
          <w:rFonts w:ascii="Times New Roman" w:hAnsi="Times New Roman"/>
          <w:b/>
          <w:i/>
          <w:sz w:val="18"/>
        </w:rPr>
        <w:t>Table 5.2: Survival Modeling Paradigm Performance Benchmark Matrix</w:t>
      </w:r>
    </w:p>
    <w:p>
      <w:pPr>
        <w:spacing w:before="120" w:after="40"/>
        <w:jc w:val="center"/>
      </w:pPr>
      <w:r>
        <w:drawing>
          <wp:inline xmlns:a="http://schemas.openxmlformats.org/drawingml/2006/main" xmlns:pic="http://schemas.openxmlformats.org/drawingml/2006/picture">
            <wp:extent cx="4754880" cy="1919401"/>
            <wp:docPr id="10" name="Picture 10"/>
            <wp:cNvGraphicFramePr>
              <a:graphicFrameLocks noChangeAspect="1"/>
            </wp:cNvGraphicFramePr>
            <a:graphic>
              <a:graphicData uri="http://schemas.openxmlformats.org/drawingml/2006/picture">
                <pic:pic>
                  <pic:nvPicPr>
                    <pic:cNvPr id="0" name="model_comparison_chart.png"/>
                    <pic:cNvPicPr/>
                  </pic:nvPicPr>
                  <pic:blipFill>
                    <a:blip r:embed="rId20"/>
                    <a:stretch>
                      <a:fillRect/>
                    </a:stretch>
                  </pic:blipFill>
                  <pic:spPr>
                    <a:xfrm>
                      <a:off x="0" y="0"/>
                      <a:ext cx="4754880" cy="1919401"/>
                    </a:xfrm>
                    <a:prstGeom prst="rect"/>
                  </pic:spPr>
                </pic:pic>
              </a:graphicData>
            </a:graphic>
          </wp:inline>
        </w:drawing>
      </w:r>
    </w:p>
    <w:p>
      <w:pPr>
        <w:spacing w:before="40" w:after="160"/>
        <w:jc w:val="center"/>
      </w:pPr>
      <w:r>
        <w:rPr>
          <w:rFonts w:ascii="Times New Roman" w:hAnsi="Times New Roman"/>
          <w:b/>
          <w:i/>
          <w:color w:val="23324B"/>
          <w:sz w:val="19"/>
        </w:rPr>
        <w:t>Figure 5.4: Empirical Benchmark of Survival Modeling Paradigms vs Naive Binary Baselines</w:t>
      </w:r>
    </w:p>
    <w:p>
      <w:pPr>
        <w:spacing w:before="0" w:after="160" w:line="276" w:lineRule="auto"/>
        <w:jc w:val="both"/>
      </w:pPr>
      <w:r>
        <w:rPr>
          <w:rFonts w:ascii="Times New Roman" w:hAnsi="Times New Roman"/>
          <w:color w:val="1E232D"/>
          <w:sz w:val="22"/>
        </w:rPr>
        <w:t>As established in Table 5.2 and Figure 5.4, Weibull AFT and Cox PH achieve the highest test discrimination (C-index = 0.8697 and 0.8694), outperforming the naive binary logistic classifier (0.8283) by +4.14 percentage points. The Weibull AFT model delivered an exceptional Integrated Brier Score of 0.0818, representing a 38.8% reduction in probability calibration error over the binary baseline (0.1336).</w:t>
      </w:r>
    </w:p>
    <w:p>
      <w:pPr>
        <w:spacing w:before="120" w:after="60" w:line="276" w:lineRule="auto"/>
        <w:jc w:val="left"/>
      </w:pPr>
      <w:r>
        <w:rPr>
          <w:rFonts w:ascii="Times New Roman" w:hAnsi="Times New Roman"/>
          <w:b/>
          <w:color w:val="1E3C64"/>
          <w:sz w:val="23"/>
        </w:rPr>
        <w:t>5.1.5 Time-Dependent Probability Calibration</w:t>
      </w:r>
    </w:p>
    <w:p>
      <w:pPr>
        <w:spacing w:before="0" w:after="80" w:line="276" w:lineRule="auto"/>
        <w:jc w:val="both"/>
      </w:pPr>
      <w:r>
        <w:rPr>
          <w:rFonts w:ascii="Times New Roman" w:hAnsi="Times New Roman"/>
          <w:color w:val="1E232D"/>
          <w:sz w:val="22"/>
        </w:rPr>
        <w:t>Reliable decision making requires that predicted survival probabilities match observed event rates across risk deciles. Figure 5.5 displays the 90-day time-dependent calibration curve:</w:t>
      </w:r>
    </w:p>
    <w:p>
      <w:pPr>
        <w:spacing w:before="120" w:after="40"/>
        <w:jc w:val="center"/>
      </w:pPr>
      <w:r>
        <w:drawing>
          <wp:inline xmlns:a="http://schemas.openxmlformats.org/drawingml/2006/main" xmlns:pic="http://schemas.openxmlformats.org/drawingml/2006/picture">
            <wp:extent cx="4754880" cy="2971800"/>
            <wp:docPr id="11" name="Picture 11"/>
            <wp:cNvGraphicFramePr>
              <a:graphicFrameLocks noChangeAspect="1"/>
            </wp:cNvGraphicFramePr>
            <a:graphic>
              <a:graphicData uri="http://schemas.openxmlformats.org/drawingml/2006/picture">
                <pic:pic>
                  <pic:nvPicPr>
                    <pic:cNvPr id="0" name="survival_calibration_90d.png"/>
                    <pic:cNvPicPr/>
                  </pic:nvPicPr>
                  <pic:blipFill>
                    <a:blip r:embed="rId21"/>
                    <a:stretch>
                      <a:fillRect/>
                    </a:stretch>
                  </pic:blipFill>
                  <pic:spPr>
                    <a:xfrm>
                      <a:off x="0" y="0"/>
                      <a:ext cx="4754880" cy="2971800"/>
                    </a:xfrm>
                    <a:prstGeom prst="rect"/>
                  </pic:spPr>
                </pic:pic>
              </a:graphicData>
            </a:graphic>
          </wp:inline>
        </w:drawing>
      </w:r>
    </w:p>
    <w:p>
      <w:pPr>
        <w:spacing w:before="40" w:after="160"/>
        <w:jc w:val="center"/>
      </w:pPr>
      <w:r>
        <w:rPr>
          <w:rFonts w:ascii="Times New Roman" w:hAnsi="Times New Roman"/>
          <w:b/>
          <w:i/>
          <w:color w:val="23324B"/>
          <w:sz w:val="19"/>
        </w:rPr>
        <w:t>Figure 5.5: Time-Dependent Calibration Curve at 90-Day Operational Horizon</w:t>
      </w:r>
    </w:p>
    <w:p>
      <w:pPr>
        <w:spacing w:before="0" w:after="160" w:line="276" w:lineRule="auto"/>
        <w:jc w:val="both"/>
      </w:pPr>
      <w:r>
        <w:rPr>
          <w:rFonts w:ascii="Times New Roman" w:hAnsi="Times New Roman"/>
          <w:color w:val="1E232D"/>
          <w:sz w:val="22"/>
        </w:rPr>
        <w:t>Figure 5.5 demonstrates near-perfect alignment with the diagonal 45-degree reference line, confirming that RetainIQ's survival estimates represent unskewed, calibrated probabilities.</w:t>
      </w:r>
    </w:p>
    <w:p>
      <w:pPr>
        <w:spacing w:before="120" w:after="60" w:line="276" w:lineRule="auto"/>
        <w:jc w:val="left"/>
      </w:pPr>
      <w:r>
        <w:rPr>
          <w:rFonts w:ascii="Times New Roman" w:hAnsi="Times New Roman"/>
          <w:b/>
          <w:color w:val="1E3C64"/>
          <w:sz w:val="23"/>
        </w:rPr>
        <w:t>5.1.6 Customer Risk Stratification Tiers</w:t>
      </w:r>
    </w:p>
    <w:p>
      <w:pPr>
        <w:spacing w:before="0" w:after="80" w:line="276" w:lineRule="auto"/>
        <w:jc w:val="both"/>
      </w:pPr>
      <w:r>
        <w:rPr>
          <w:rFonts w:ascii="Times New Roman" w:hAnsi="Times New Roman"/>
          <w:color w:val="1E232D"/>
          <w:sz w:val="22"/>
        </w:rPr>
        <w:t>Subscribers are stratified into four operational risk tiers based on 90-day predicted churn risk (1 - S(90d)). Table 5.3 summarizes cohort distributions from outputs/metrics/customer_segments.json:</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1728"/>
            <w:shd w:fill="152035"/>
            <w:tcMar>
              <w:top w:w="45" w:type="dxa"/>
              <w:bottom w:w="45" w:type="dxa"/>
              <w:left w:w="50" w:type="dxa"/>
              <w:right w:w="50" w:type="dxa"/>
            </w:tcMar>
          </w:tcPr>
          <w:p>
            <w:pPr>
              <w:jc w:val="left"/>
            </w:pPr>
            <w:r>
              <w:rPr>
                <w:rFonts w:ascii="Times New Roman" w:hAnsi="Times New Roman"/>
                <w:b/>
                <w:color w:val="FFFFFF"/>
                <w:sz w:val="17"/>
              </w:rPr>
              <w:t>RISK TIER</w:t>
            </w:r>
          </w:p>
        </w:tc>
        <w:tc>
          <w:tcPr>
            <w:tcW w:type="dxa" w:w="1584"/>
            <w:shd w:fill="152035"/>
            <w:tcMar>
              <w:top w:w="45" w:type="dxa"/>
              <w:bottom w:w="45" w:type="dxa"/>
              <w:left w:w="50" w:type="dxa"/>
              <w:right w:w="50" w:type="dxa"/>
            </w:tcMar>
          </w:tcPr>
          <w:p>
            <w:pPr>
              <w:jc w:val="center"/>
            </w:pPr>
            <w:r>
              <w:rPr>
                <w:rFonts w:ascii="Times New Roman" w:hAnsi="Times New Roman"/>
                <w:b/>
                <w:color w:val="FFFFFF"/>
                <w:sz w:val="17"/>
              </w:rPr>
              <w:t>90D CHURN RISK</w:t>
            </w:r>
          </w:p>
        </w:tc>
        <w:tc>
          <w:tcPr>
            <w:tcW w:type="dxa" w:w="1296"/>
            <w:shd w:fill="152035"/>
            <w:tcMar>
              <w:top w:w="45" w:type="dxa"/>
              <w:bottom w:w="45" w:type="dxa"/>
              <w:left w:w="50" w:type="dxa"/>
              <w:right w:w="50" w:type="dxa"/>
            </w:tcMar>
          </w:tcPr>
          <w:p>
            <w:pPr>
              <w:jc w:val="center"/>
            </w:pPr>
            <w:r>
              <w:rPr>
                <w:rFonts w:ascii="Times New Roman" w:hAnsi="Times New Roman"/>
                <w:b/>
                <w:color w:val="FFFFFF"/>
                <w:sz w:val="17"/>
              </w:rPr>
              <w:t>ACCOUNTS</w:t>
            </w:r>
          </w:p>
        </w:tc>
        <w:tc>
          <w:tcPr>
            <w:tcW w:type="dxa" w:w="1440"/>
            <w:shd w:fill="152035"/>
            <w:tcMar>
              <w:top w:w="45" w:type="dxa"/>
              <w:bottom w:w="45" w:type="dxa"/>
              <w:left w:w="50" w:type="dxa"/>
              <w:right w:w="50" w:type="dxa"/>
            </w:tcMar>
          </w:tcPr>
          <w:p>
            <w:pPr>
              <w:jc w:val="center"/>
            </w:pPr>
            <w:r>
              <w:rPr>
                <w:rFonts w:ascii="Times New Roman" w:hAnsi="Times New Roman"/>
                <w:b/>
                <w:color w:val="FFFFFF"/>
                <w:sz w:val="17"/>
              </w:rPr>
              <w:t>POPULATION %</w:t>
            </w:r>
          </w:p>
        </w:tc>
        <w:tc>
          <w:tcPr>
            <w:tcW w:type="dxa" w:w="1440"/>
            <w:shd w:fill="152035"/>
            <w:tcMar>
              <w:top w:w="45" w:type="dxa"/>
              <w:bottom w:w="45" w:type="dxa"/>
              <w:left w:w="50" w:type="dxa"/>
              <w:right w:w="50" w:type="dxa"/>
            </w:tcMar>
          </w:tcPr>
          <w:p>
            <w:pPr>
              <w:jc w:val="center"/>
            </w:pPr>
            <w:r>
              <w:rPr>
                <w:rFonts w:ascii="Times New Roman" w:hAnsi="Times New Roman"/>
                <w:b/>
                <w:color w:val="FFFFFF"/>
                <w:sz w:val="17"/>
              </w:rPr>
              <w:t>AVG MONTHLY</w:t>
            </w:r>
          </w:p>
        </w:tc>
        <w:tc>
          <w:tcPr>
            <w:tcW w:type="dxa" w:w="1872"/>
            <w:shd w:fill="152035"/>
            <w:tcMar>
              <w:top w:w="45" w:type="dxa"/>
              <w:bottom w:w="45" w:type="dxa"/>
              <w:left w:w="50" w:type="dxa"/>
              <w:right w:w="50" w:type="dxa"/>
            </w:tcMar>
          </w:tcPr>
          <w:p>
            <w:pPr>
              <w:jc w:val="left"/>
            </w:pPr>
            <w:r>
              <w:rPr>
                <w:rFonts w:ascii="Times New Roman" w:hAnsi="Times New Roman"/>
                <w:b/>
                <w:color w:val="FFFFFF"/>
                <w:sz w:val="17"/>
              </w:rPr>
              <w:t>ACTION STRATEGY</w:t>
            </w:r>
          </w:p>
        </w:tc>
      </w:tr>
      <w:tr>
        <w:tc>
          <w:tcPr>
            <w:tcW w:type="dxa" w:w="1728"/>
            <w:tcMar>
              <w:top w:w="35" w:type="dxa"/>
              <w:bottom w:w="35" w:type="dxa"/>
              <w:left w:w="50" w:type="dxa"/>
              <w:right w:w="50" w:type="dxa"/>
            </w:tcMar>
          </w:tcPr>
          <w:p>
            <w:pPr>
              <w:jc w:val="left"/>
            </w:pPr>
            <w:r>
              <w:rPr>
                <w:rFonts w:ascii="Times New Roman" w:hAnsi="Times New Roman"/>
                <w:b/>
                <w:sz w:val="17"/>
              </w:rPr>
              <w:t>Low Risk</w:t>
            </w:r>
          </w:p>
        </w:tc>
        <w:tc>
          <w:tcPr>
            <w:tcW w:type="dxa" w:w="1584"/>
            <w:tcMar>
              <w:top w:w="35" w:type="dxa"/>
              <w:bottom w:w="35" w:type="dxa"/>
              <w:left w:w="50" w:type="dxa"/>
              <w:right w:w="50" w:type="dxa"/>
            </w:tcMar>
          </w:tcPr>
          <w:p>
            <w:pPr>
              <w:jc w:val="center"/>
            </w:pPr>
            <w:r>
              <w:rPr>
                <w:rFonts w:ascii="Times New Roman" w:hAnsi="Times New Roman"/>
                <w:sz w:val="17"/>
              </w:rPr>
              <w:t>&lt; 15%</w:t>
            </w:r>
          </w:p>
        </w:tc>
        <w:tc>
          <w:tcPr>
            <w:tcW w:type="dxa" w:w="1296"/>
            <w:tcMar>
              <w:top w:w="35" w:type="dxa"/>
              <w:bottom w:w="35" w:type="dxa"/>
              <w:left w:w="50" w:type="dxa"/>
              <w:right w:w="50" w:type="dxa"/>
            </w:tcMar>
          </w:tcPr>
          <w:p>
            <w:pPr>
              <w:jc w:val="center"/>
            </w:pPr>
            <w:r>
              <w:rPr>
                <w:rFonts w:ascii="Times New Roman" w:hAnsi="Times New Roman"/>
                <w:sz w:val="17"/>
              </w:rPr>
              <w:t>3,812</w:t>
            </w:r>
          </w:p>
        </w:tc>
        <w:tc>
          <w:tcPr>
            <w:tcW w:type="dxa" w:w="1440"/>
            <w:tcMar>
              <w:top w:w="35" w:type="dxa"/>
              <w:bottom w:w="35" w:type="dxa"/>
              <w:left w:w="50" w:type="dxa"/>
              <w:right w:w="50" w:type="dxa"/>
            </w:tcMar>
          </w:tcPr>
          <w:p>
            <w:pPr>
              <w:jc w:val="center"/>
            </w:pPr>
            <w:r>
              <w:rPr>
                <w:rFonts w:ascii="Times New Roman" w:hAnsi="Times New Roman"/>
                <w:sz w:val="17"/>
              </w:rPr>
              <w:t>54.12%</w:t>
            </w:r>
          </w:p>
        </w:tc>
        <w:tc>
          <w:tcPr>
            <w:tcW w:type="dxa" w:w="1440"/>
            <w:tcMar>
              <w:top w:w="35" w:type="dxa"/>
              <w:bottom w:w="35" w:type="dxa"/>
              <w:left w:w="50" w:type="dxa"/>
              <w:right w:w="50" w:type="dxa"/>
            </w:tcMar>
          </w:tcPr>
          <w:p>
            <w:pPr>
              <w:jc w:val="center"/>
            </w:pPr>
            <w:r>
              <w:rPr>
                <w:rFonts w:ascii="Times New Roman" w:hAnsi="Times New Roman"/>
                <w:sz w:val="17"/>
              </w:rPr>
              <w:t>$42.15</w:t>
            </w:r>
          </w:p>
        </w:tc>
        <w:tc>
          <w:tcPr>
            <w:tcW w:type="dxa" w:w="1872"/>
            <w:tcMar>
              <w:top w:w="35" w:type="dxa"/>
              <w:bottom w:w="35" w:type="dxa"/>
              <w:left w:w="50" w:type="dxa"/>
              <w:right w:w="50" w:type="dxa"/>
            </w:tcMar>
          </w:tcPr>
          <w:p>
            <w:pPr>
              <w:jc w:val="left"/>
            </w:pPr>
            <w:r>
              <w:rPr>
                <w:rFonts w:ascii="Times New Roman" w:hAnsi="Times New Roman"/>
                <w:sz w:val="17"/>
              </w:rPr>
              <w:t>Organic Renewal (No Tx)</w:t>
            </w:r>
          </w:p>
        </w:tc>
      </w:tr>
      <w:tr>
        <w:tc>
          <w:tcPr>
            <w:tcW w:type="dxa" w:w="1728"/>
            <w:tcMar>
              <w:top w:w="35" w:type="dxa"/>
              <w:bottom w:w="35" w:type="dxa"/>
              <w:left w:w="50" w:type="dxa"/>
              <w:right w:w="50" w:type="dxa"/>
            </w:tcMar>
          </w:tcPr>
          <w:p>
            <w:pPr>
              <w:jc w:val="left"/>
            </w:pPr>
            <w:r>
              <w:rPr>
                <w:rFonts w:ascii="Times New Roman" w:hAnsi="Times New Roman"/>
                <w:b/>
                <w:sz w:val="17"/>
              </w:rPr>
              <w:t>Medium Risk</w:t>
            </w:r>
          </w:p>
        </w:tc>
        <w:tc>
          <w:tcPr>
            <w:tcW w:type="dxa" w:w="1584"/>
            <w:tcMar>
              <w:top w:w="35" w:type="dxa"/>
              <w:bottom w:w="35" w:type="dxa"/>
              <w:left w:w="50" w:type="dxa"/>
              <w:right w:w="50" w:type="dxa"/>
            </w:tcMar>
          </w:tcPr>
          <w:p>
            <w:pPr>
              <w:jc w:val="center"/>
            </w:pPr>
            <w:r>
              <w:rPr>
                <w:rFonts w:ascii="Times New Roman" w:hAnsi="Times New Roman"/>
                <w:sz w:val="17"/>
              </w:rPr>
              <w:t>15% – 35%</w:t>
            </w:r>
          </w:p>
        </w:tc>
        <w:tc>
          <w:tcPr>
            <w:tcW w:type="dxa" w:w="1296"/>
            <w:tcMar>
              <w:top w:w="35" w:type="dxa"/>
              <w:bottom w:w="35" w:type="dxa"/>
              <w:left w:w="50" w:type="dxa"/>
              <w:right w:w="50" w:type="dxa"/>
            </w:tcMar>
          </w:tcPr>
          <w:p>
            <w:pPr>
              <w:jc w:val="center"/>
            </w:pPr>
            <w:r>
              <w:rPr>
                <w:rFonts w:ascii="Times New Roman" w:hAnsi="Times New Roman"/>
                <w:sz w:val="17"/>
              </w:rPr>
              <w:t>1,358</w:t>
            </w:r>
          </w:p>
        </w:tc>
        <w:tc>
          <w:tcPr>
            <w:tcW w:type="dxa" w:w="1440"/>
            <w:tcMar>
              <w:top w:w="35" w:type="dxa"/>
              <w:bottom w:w="35" w:type="dxa"/>
              <w:left w:w="50" w:type="dxa"/>
              <w:right w:w="50" w:type="dxa"/>
            </w:tcMar>
          </w:tcPr>
          <w:p>
            <w:pPr>
              <w:jc w:val="center"/>
            </w:pPr>
            <w:r>
              <w:rPr>
                <w:rFonts w:ascii="Times New Roman" w:hAnsi="Times New Roman"/>
                <w:sz w:val="17"/>
              </w:rPr>
              <w:t>19.28%</w:t>
            </w:r>
          </w:p>
        </w:tc>
        <w:tc>
          <w:tcPr>
            <w:tcW w:type="dxa" w:w="1440"/>
            <w:tcMar>
              <w:top w:w="35" w:type="dxa"/>
              <w:bottom w:w="35" w:type="dxa"/>
              <w:left w:w="50" w:type="dxa"/>
              <w:right w:w="50" w:type="dxa"/>
            </w:tcMar>
          </w:tcPr>
          <w:p>
            <w:pPr>
              <w:jc w:val="center"/>
            </w:pPr>
            <w:r>
              <w:rPr>
                <w:rFonts w:ascii="Times New Roman" w:hAnsi="Times New Roman"/>
                <w:sz w:val="17"/>
              </w:rPr>
              <w:t>$68.40</w:t>
            </w:r>
          </w:p>
        </w:tc>
        <w:tc>
          <w:tcPr>
            <w:tcW w:type="dxa" w:w="1872"/>
            <w:tcMar>
              <w:top w:w="35" w:type="dxa"/>
              <w:bottom w:w="35" w:type="dxa"/>
              <w:left w:w="50" w:type="dxa"/>
              <w:right w:w="50" w:type="dxa"/>
            </w:tcMar>
          </w:tcPr>
          <w:p>
            <w:pPr>
              <w:jc w:val="left"/>
            </w:pPr>
            <w:r>
              <w:rPr>
                <w:rFonts w:ascii="Times New Roman" w:hAnsi="Times New Roman"/>
                <w:sz w:val="17"/>
              </w:rPr>
              <w:t>Proactive Service Check-in</w:t>
            </w:r>
          </w:p>
        </w:tc>
      </w:tr>
      <w:tr>
        <w:tc>
          <w:tcPr>
            <w:tcW w:type="dxa" w:w="1728"/>
            <w:tcMar>
              <w:top w:w="35" w:type="dxa"/>
              <w:bottom w:w="35" w:type="dxa"/>
              <w:left w:w="50" w:type="dxa"/>
              <w:right w:w="50" w:type="dxa"/>
            </w:tcMar>
          </w:tcPr>
          <w:p>
            <w:pPr>
              <w:jc w:val="left"/>
            </w:pPr>
            <w:r>
              <w:rPr>
                <w:rFonts w:ascii="Times New Roman" w:hAnsi="Times New Roman"/>
                <w:b/>
                <w:sz w:val="17"/>
              </w:rPr>
              <w:t>High Risk</w:t>
            </w:r>
          </w:p>
        </w:tc>
        <w:tc>
          <w:tcPr>
            <w:tcW w:type="dxa" w:w="1584"/>
            <w:tcMar>
              <w:top w:w="35" w:type="dxa"/>
              <w:bottom w:w="35" w:type="dxa"/>
              <w:left w:w="50" w:type="dxa"/>
              <w:right w:w="50" w:type="dxa"/>
            </w:tcMar>
          </w:tcPr>
          <w:p>
            <w:pPr>
              <w:jc w:val="center"/>
            </w:pPr>
            <w:r>
              <w:rPr>
                <w:rFonts w:ascii="Times New Roman" w:hAnsi="Times New Roman"/>
                <w:sz w:val="17"/>
              </w:rPr>
              <w:t>35% – 65%</w:t>
            </w:r>
          </w:p>
        </w:tc>
        <w:tc>
          <w:tcPr>
            <w:tcW w:type="dxa" w:w="1296"/>
            <w:tcMar>
              <w:top w:w="35" w:type="dxa"/>
              <w:bottom w:w="35" w:type="dxa"/>
              <w:left w:w="50" w:type="dxa"/>
              <w:right w:w="50" w:type="dxa"/>
            </w:tcMar>
          </w:tcPr>
          <w:p>
            <w:pPr>
              <w:jc w:val="center"/>
            </w:pPr>
            <w:r>
              <w:rPr>
                <w:rFonts w:ascii="Times New Roman" w:hAnsi="Times New Roman"/>
                <w:sz w:val="17"/>
              </w:rPr>
              <w:t>1,184</w:t>
            </w:r>
          </w:p>
        </w:tc>
        <w:tc>
          <w:tcPr>
            <w:tcW w:type="dxa" w:w="1440"/>
            <w:tcMar>
              <w:top w:w="35" w:type="dxa"/>
              <w:bottom w:w="35" w:type="dxa"/>
              <w:left w:w="50" w:type="dxa"/>
              <w:right w:w="50" w:type="dxa"/>
            </w:tcMar>
          </w:tcPr>
          <w:p>
            <w:pPr>
              <w:jc w:val="center"/>
            </w:pPr>
            <w:r>
              <w:rPr>
                <w:rFonts w:ascii="Times New Roman" w:hAnsi="Times New Roman"/>
                <w:sz w:val="17"/>
              </w:rPr>
              <w:t>16.81%</w:t>
            </w:r>
          </w:p>
        </w:tc>
        <w:tc>
          <w:tcPr>
            <w:tcW w:type="dxa" w:w="1440"/>
            <w:tcMar>
              <w:top w:w="35" w:type="dxa"/>
              <w:bottom w:w="35" w:type="dxa"/>
              <w:left w:w="50" w:type="dxa"/>
              <w:right w:w="50" w:type="dxa"/>
            </w:tcMar>
          </w:tcPr>
          <w:p>
            <w:pPr>
              <w:jc w:val="center"/>
            </w:pPr>
            <w:r>
              <w:rPr>
                <w:rFonts w:ascii="Times New Roman" w:hAnsi="Times New Roman"/>
                <w:sz w:val="17"/>
              </w:rPr>
              <w:t>$82.10</w:t>
            </w:r>
          </w:p>
        </w:tc>
        <w:tc>
          <w:tcPr>
            <w:tcW w:type="dxa" w:w="1872"/>
            <w:tcMar>
              <w:top w:w="35" w:type="dxa"/>
              <w:bottom w:w="35" w:type="dxa"/>
              <w:left w:w="50" w:type="dxa"/>
              <w:right w:w="50" w:type="dxa"/>
            </w:tcMar>
          </w:tcPr>
          <w:p>
            <w:pPr>
              <w:jc w:val="left"/>
            </w:pPr>
            <w:r>
              <w:rPr>
                <w:rFonts w:ascii="Times New Roman" w:hAnsi="Times New Roman"/>
                <w:sz w:val="17"/>
              </w:rPr>
              <w:t>Bill Discount / Tech Support</w:t>
            </w:r>
          </w:p>
        </w:tc>
      </w:tr>
      <w:tr>
        <w:tc>
          <w:tcPr>
            <w:tcW w:type="dxa" w:w="1728"/>
            <w:tcMar>
              <w:top w:w="35" w:type="dxa"/>
              <w:bottom w:w="35" w:type="dxa"/>
              <w:left w:w="50" w:type="dxa"/>
              <w:right w:w="50" w:type="dxa"/>
            </w:tcMar>
          </w:tcPr>
          <w:p>
            <w:pPr>
              <w:jc w:val="left"/>
            </w:pPr>
            <w:r>
              <w:rPr>
                <w:rFonts w:ascii="Times New Roman" w:hAnsi="Times New Roman"/>
                <w:b/>
                <w:sz w:val="17"/>
              </w:rPr>
              <w:t>Critical Risk</w:t>
            </w:r>
          </w:p>
        </w:tc>
        <w:tc>
          <w:tcPr>
            <w:tcW w:type="dxa" w:w="1584"/>
            <w:tcMar>
              <w:top w:w="35" w:type="dxa"/>
              <w:bottom w:w="35" w:type="dxa"/>
              <w:left w:w="50" w:type="dxa"/>
              <w:right w:w="50" w:type="dxa"/>
            </w:tcMar>
          </w:tcPr>
          <w:p>
            <w:pPr>
              <w:jc w:val="center"/>
            </w:pPr>
            <w:r>
              <w:rPr>
                <w:rFonts w:ascii="Times New Roman" w:hAnsi="Times New Roman"/>
                <w:sz w:val="17"/>
              </w:rPr>
              <w:t>&gt; 65%</w:t>
            </w:r>
          </w:p>
        </w:tc>
        <w:tc>
          <w:tcPr>
            <w:tcW w:type="dxa" w:w="1296"/>
            <w:tcMar>
              <w:top w:w="35" w:type="dxa"/>
              <w:bottom w:w="35" w:type="dxa"/>
              <w:left w:w="50" w:type="dxa"/>
              <w:right w:w="50" w:type="dxa"/>
            </w:tcMar>
          </w:tcPr>
          <w:p>
            <w:pPr>
              <w:jc w:val="center"/>
            </w:pPr>
            <w:r>
              <w:rPr>
                <w:rFonts w:ascii="Times New Roman" w:hAnsi="Times New Roman"/>
                <w:sz w:val="17"/>
              </w:rPr>
              <w:t>689</w:t>
            </w:r>
          </w:p>
        </w:tc>
        <w:tc>
          <w:tcPr>
            <w:tcW w:type="dxa" w:w="1440"/>
            <w:tcMar>
              <w:top w:w="35" w:type="dxa"/>
              <w:bottom w:w="35" w:type="dxa"/>
              <w:left w:w="50" w:type="dxa"/>
              <w:right w:w="50" w:type="dxa"/>
            </w:tcMar>
          </w:tcPr>
          <w:p>
            <w:pPr>
              <w:jc w:val="center"/>
            </w:pPr>
            <w:r>
              <w:rPr>
                <w:rFonts w:ascii="Times New Roman" w:hAnsi="Times New Roman"/>
                <w:sz w:val="17"/>
              </w:rPr>
              <w:t>9.79%</w:t>
            </w:r>
          </w:p>
        </w:tc>
        <w:tc>
          <w:tcPr>
            <w:tcW w:type="dxa" w:w="1440"/>
            <w:tcMar>
              <w:top w:w="35" w:type="dxa"/>
              <w:bottom w:w="35" w:type="dxa"/>
              <w:left w:w="50" w:type="dxa"/>
              <w:right w:w="50" w:type="dxa"/>
            </w:tcMar>
          </w:tcPr>
          <w:p>
            <w:pPr>
              <w:jc w:val="center"/>
            </w:pPr>
            <w:r>
              <w:rPr>
                <w:rFonts w:ascii="Times New Roman" w:hAnsi="Times New Roman"/>
                <w:sz w:val="17"/>
              </w:rPr>
              <w:t>$89.65</w:t>
            </w:r>
          </w:p>
        </w:tc>
        <w:tc>
          <w:tcPr>
            <w:tcW w:type="dxa" w:w="1872"/>
            <w:tcMar>
              <w:top w:w="35" w:type="dxa"/>
              <w:bottom w:w="35" w:type="dxa"/>
              <w:left w:w="50" w:type="dxa"/>
              <w:right w:w="50" w:type="dxa"/>
            </w:tcMar>
          </w:tcPr>
          <w:p>
            <w:pPr>
              <w:jc w:val="left"/>
            </w:pPr>
            <w:r>
              <w:rPr>
                <w:rFonts w:ascii="Times New Roman" w:hAnsi="Times New Roman"/>
                <w:sz w:val="17"/>
              </w:rPr>
              <w:t>Contract Incentive / VIP Call</w:t>
            </w:r>
          </w:p>
        </w:tc>
      </w:tr>
    </w:tbl>
    <w:p>
      <w:pPr>
        <w:spacing w:before="80" w:after="200" w:line="276" w:lineRule="auto"/>
        <w:jc w:val="center"/>
      </w:pPr>
      <w:r>
        <w:rPr>
          <w:rFonts w:ascii="Times New Roman" w:hAnsi="Times New Roman"/>
          <w:b/>
          <w:i/>
          <w:sz w:val="18"/>
        </w:rPr>
        <w:t>Table 5.3: Empirical Risk Tier Stratification and Operational Characteristics</w:t>
      </w:r>
    </w:p>
    <w:p>
      <w:pPr>
        <w:spacing w:before="120" w:after="60" w:line="276" w:lineRule="auto"/>
        <w:jc w:val="left"/>
      </w:pPr>
      <w:r>
        <w:rPr>
          <w:rFonts w:ascii="Times New Roman" w:hAnsi="Times New Roman"/>
          <w:b/>
          <w:color w:val="1E3C64"/>
          <w:sz w:val="23"/>
        </w:rPr>
        <w:t>5.1.7 Causal Uplift &amp; Treatment Effect Estimation</w:t>
      </w:r>
    </w:p>
    <w:p>
      <w:pPr>
        <w:spacing w:before="0" w:after="80" w:line="276" w:lineRule="auto"/>
        <w:jc w:val="both"/>
      </w:pPr>
      <w:r>
        <w:rPr>
          <w:rFonts w:ascii="Times New Roman" w:hAnsi="Times New Roman"/>
          <w:color w:val="1E232D"/>
          <w:sz w:val="22"/>
        </w:rPr>
        <w:t>Causal Meta-Learners were evaluated on their capacity to rank subscribers by incremental treatment responsiveness. Table 5.4 compares Qini and PEHE metrics from outputs/metrics/uplift_comparison.json, and Figure 5.6 illustrates CATE distributions: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592"/>
            <w:shd w:fill="152035"/>
            <w:tcMar>
              <w:top w:w="45" w:type="dxa"/>
              <w:bottom w:w="45" w:type="dxa"/>
              <w:left w:w="50" w:type="dxa"/>
              <w:right w:w="50" w:type="dxa"/>
            </w:tcMar>
          </w:tcPr>
          <w:p>
            <w:pPr>
              <w:jc w:val="left"/>
            </w:pPr>
            <w:r>
              <w:rPr>
                <w:rFonts w:ascii="Times New Roman" w:hAnsi="Times New Roman"/>
                <w:b/>
                <w:color w:val="FFFFFF"/>
                <w:sz w:val="17"/>
              </w:rPr>
              <w:t>META-LEARNER</w:t>
            </w:r>
          </w:p>
        </w:tc>
        <w:tc>
          <w:tcPr>
            <w:tcW w:type="dxa" w:w="1728"/>
            <w:shd w:fill="152035"/>
            <w:tcMar>
              <w:top w:w="45" w:type="dxa"/>
              <w:bottom w:w="45" w:type="dxa"/>
              <w:left w:w="50" w:type="dxa"/>
              <w:right w:w="50" w:type="dxa"/>
            </w:tcMar>
          </w:tcPr>
          <w:p>
            <w:pPr>
              <w:jc w:val="center"/>
            </w:pPr>
            <w:r>
              <w:rPr>
                <w:rFonts w:ascii="Times New Roman" w:hAnsi="Times New Roman"/>
                <w:b/>
                <w:color w:val="FFFFFF"/>
                <w:sz w:val="17"/>
              </w:rPr>
              <w:t>MEAN QINI SCORE</w:t>
            </w:r>
          </w:p>
        </w:tc>
        <w:tc>
          <w:tcPr>
            <w:tcW w:type="dxa" w:w="1584"/>
            <w:shd w:fill="152035"/>
            <w:tcMar>
              <w:top w:w="45" w:type="dxa"/>
              <w:bottom w:w="45" w:type="dxa"/>
              <w:left w:w="50" w:type="dxa"/>
              <w:right w:w="50" w:type="dxa"/>
            </w:tcMar>
          </w:tcPr>
          <w:p>
            <w:pPr>
              <w:jc w:val="center"/>
            </w:pPr>
            <w:r>
              <w:rPr>
                <w:rFonts w:ascii="Times New Roman" w:hAnsi="Times New Roman"/>
                <w:b/>
                <w:color w:val="FFFFFF"/>
                <w:sz w:val="17"/>
              </w:rPr>
              <w:t>PEHE RMSE</w:t>
            </w:r>
          </w:p>
        </w:tc>
        <w:tc>
          <w:tcPr>
            <w:tcW w:type="dxa" w:w="1584"/>
            <w:shd w:fill="152035"/>
            <w:tcMar>
              <w:top w:w="45" w:type="dxa"/>
              <w:bottom w:w="45" w:type="dxa"/>
              <w:left w:w="50" w:type="dxa"/>
              <w:right w:w="50" w:type="dxa"/>
            </w:tcMar>
          </w:tcPr>
          <w:p>
            <w:pPr>
              <w:jc w:val="center"/>
            </w:pPr>
            <w:r>
              <w:rPr>
                <w:rFonts w:ascii="Times New Roman" w:hAnsi="Times New Roman"/>
                <w:b/>
                <w:color w:val="FFFFFF"/>
                <w:sz w:val="17"/>
              </w:rPr>
              <w:t>UPLIFT RANGE</w:t>
            </w:r>
          </w:p>
        </w:tc>
        <w:tc>
          <w:tcPr>
            <w:tcW w:type="dxa" w:w="1872"/>
            <w:shd w:fill="152035"/>
            <w:tcMar>
              <w:top w:w="45" w:type="dxa"/>
              <w:bottom w:w="45" w:type="dxa"/>
              <w:left w:w="50" w:type="dxa"/>
              <w:right w:w="50" w:type="dxa"/>
            </w:tcMar>
          </w:tcPr>
          <w:p>
            <w:pPr>
              <w:jc w:val="left"/>
            </w:pPr>
            <w:r>
              <w:rPr>
                <w:rFonts w:ascii="Times New Roman" w:hAnsi="Times New Roman"/>
                <w:b/>
                <w:color w:val="FFFFFF"/>
                <w:sz w:val="17"/>
              </w:rPr>
              <w:t>RANKING ACCURACY</w:t>
            </w:r>
          </w:p>
        </w:tc>
      </w:tr>
      <w:tr>
        <w:tc>
          <w:tcPr>
            <w:tcW w:type="dxa" w:w="2592"/>
            <w:tcMar>
              <w:top w:w="35" w:type="dxa"/>
              <w:bottom w:w="35" w:type="dxa"/>
              <w:left w:w="50" w:type="dxa"/>
              <w:right w:w="50" w:type="dxa"/>
            </w:tcMar>
          </w:tcPr>
          <w:p>
            <w:pPr>
              <w:jc w:val="left"/>
            </w:pPr>
            <w:r>
              <w:rPr>
                <w:rFonts w:ascii="Times New Roman" w:hAnsi="Times New Roman"/>
                <w:b/>
                <w:sz w:val="17"/>
              </w:rPr>
              <w:t>T-Learner (Weibull Base)</w:t>
            </w:r>
          </w:p>
        </w:tc>
        <w:tc>
          <w:tcPr>
            <w:tcW w:type="dxa" w:w="1728"/>
            <w:tcMar>
              <w:top w:w="35" w:type="dxa"/>
              <w:bottom w:w="35" w:type="dxa"/>
              <w:left w:w="50" w:type="dxa"/>
              <w:right w:w="50" w:type="dxa"/>
            </w:tcMar>
          </w:tcPr>
          <w:p>
            <w:pPr>
              <w:jc w:val="center"/>
            </w:pPr>
            <w:r>
              <w:rPr>
                <w:rFonts w:ascii="Times New Roman" w:hAnsi="Times New Roman"/>
                <w:b/>
                <w:color w:val="146E2D"/>
                <w:sz w:val="17"/>
              </w:rPr>
              <w:t>0.6920</w:t>
            </w:r>
          </w:p>
        </w:tc>
        <w:tc>
          <w:tcPr>
            <w:tcW w:type="dxa" w:w="1584"/>
            <w:tcMar>
              <w:top w:w="35" w:type="dxa"/>
              <w:bottom w:w="35" w:type="dxa"/>
              <w:left w:w="50" w:type="dxa"/>
              <w:right w:w="50" w:type="dxa"/>
            </w:tcMar>
          </w:tcPr>
          <w:p>
            <w:pPr>
              <w:jc w:val="center"/>
            </w:pPr>
            <w:r>
              <w:rPr>
                <w:rFonts w:ascii="Times New Roman" w:hAnsi="Times New Roman"/>
                <w:sz w:val="17"/>
              </w:rPr>
              <w:t>0.0412</w:t>
            </w:r>
          </w:p>
        </w:tc>
        <w:tc>
          <w:tcPr>
            <w:tcW w:type="dxa" w:w="1584"/>
            <w:tcMar>
              <w:top w:w="35" w:type="dxa"/>
              <w:bottom w:w="35" w:type="dxa"/>
              <w:left w:w="50" w:type="dxa"/>
              <w:right w:w="50" w:type="dxa"/>
            </w:tcMar>
          </w:tcPr>
          <w:p>
            <w:pPr>
              <w:jc w:val="center"/>
            </w:pPr>
            <w:r>
              <w:rPr>
                <w:rFonts w:ascii="Times New Roman" w:hAnsi="Times New Roman"/>
                <w:sz w:val="17"/>
              </w:rPr>
              <w:t>+0.0% to +28.4%</w:t>
            </w:r>
          </w:p>
        </w:tc>
        <w:tc>
          <w:tcPr>
            <w:tcW w:type="dxa" w:w="1872"/>
            <w:tcMar>
              <w:top w:w="35" w:type="dxa"/>
              <w:bottom w:w="35" w:type="dxa"/>
              <w:left w:w="50" w:type="dxa"/>
              <w:right w:w="50" w:type="dxa"/>
            </w:tcMar>
          </w:tcPr>
          <w:p>
            <w:pPr>
              <w:jc w:val="left"/>
            </w:pPr>
            <w:r>
              <w:rPr>
                <w:rFonts w:ascii="Times New Roman" w:hAnsi="Times New Roman"/>
                <w:sz w:val="17"/>
              </w:rPr>
              <w:t>Superior (Rank 1)</w:t>
            </w:r>
          </w:p>
        </w:tc>
      </w:tr>
      <w:tr>
        <w:tc>
          <w:tcPr>
            <w:tcW w:type="dxa" w:w="2592"/>
            <w:tcMar>
              <w:top w:w="35" w:type="dxa"/>
              <w:bottom w:w="35" w:type="dxa"/>
              <w:left w:w="50" w:type="dxa"/>
              <w:right w:w="50" w:type="dxa"/>
            </w:tcMar>
          </w:tcPr>
          <w:p>
            <w:pPr>
              <w:jc w:val="left"/>
            </w:pPr>
            <w:r>
              <w:rPr>
                <w:rFonts w:ascii="Times New Roman" w:hAnsi="Times New Roman"/>
                <w:b/>
                <w:sz w:val="17"/>
              </w:rPr>
              <w:t>S-Learner (Pooled Base)</w:t>
            </w:r>
          </w:p>
        </w:tc>
        <w:tc>
          <w:tcPr>
            <w:tcW w:type="dxa" w:w="1728"/>
            <w:tcMar>
              <w:top w:w="35" w:type="dxa"/>
              <w:bottom w:w="35" w:type="dxa"/>
              <w:left w:w="50" w:type="dxa"/>
              <w:right w:w="50" w:type="dxa"/>
            </w:tcMar>
          </w:tcPr>
          <w:p>
            <w:pPr>
              <w:jc w:val="center"/>
            </w:pPr>
            <w:r>
              <w:rPr>
                <w:rFonts w:ascii="Times New Roman" w:hAnsi="Times New Roman"/>
                <w:sz w:val="17"/>
              </w:rPr>
              <w:t>0.4046</w:t>
            </w:r>
          </w:p>
        </w:tc>
        <w:tc>
          <w:tcPr>
            <w:tcW w:type="dxa" w:w="1584"/>
            <w:tcMar>
              <w:top w:w="35" w:type="dxa"/>
              <w:bottom w:w="35" w:type="dxa"/>
              <w:left w:w="50" w:type="dxa"/>
              <w:right w:w="50" w:type="dxa"/>
            </w:tcMar>
          </w:tcPr>
          <w:p>
            <w:pPr>
              <w:jc w:val="center"/>
            </w:pPr>
            <w:r>
              <w:rPr>
                <w:rFonts w:ascii="Times New Roman" w:hAnsi="Times New Roman"/>
                <w:sz w:val="17"/>
              </w:rPr>
              <w:t>0.0684</w:t>
            </w:r>
          </w:p>
        </w:tc>
        <w:tc>
          <w:tcPr>
            <w:tcW w:type="dxa" w:w="1584"/>
            <w:tcMar>
              <w:top w:w="35" w:type="dxa"/>
              <w:bottom w:w="35" w:type="dxa"/>
              <w:left w:w="50" w:type="dxa"/>
              <w:right w:w="50" w:type="dxa"/>
            </w:tcMar>
          </w:tcPr>
          <w:p>
            <w:pPr>
              <w:jc w:val="center"/>
            </w:pPr>
            <w:r>
              <w:rPr>
                <w:rFonts w:ascii="Times New Roman" w:hAnsi="Times New Roman"/>
                <w:sz w:val="17"/>
              </w:rPr>
              <w:t>+0.0% to +14.2%</w:t>
            </w:r>
          </w:p>
        </w:tc>
        <w:tc>
          <w:tcPr>
            <w:tcW w:type="dxa" w:w="1872"/>
            <w:tcMar>
              <w:top w:w="35" w:type="dxa"/>
              <w:bottom w:w="35" w:type="dxa"/>
              <w:left w:w="50" w:type="dxa"/>
              <w:right w:w="50" w:type="dxa"/>
            </w:tcMar>
          </w:tcPr>
          <w:p>
            <w:pPr>
              <w:jc w:val="left"/>
            </w:pPr>
            <w:r>
              <w:rPr>
                <w:rFonts w:ascii="Times New Roman" w:hAnsi="Times New Roman"/>
                <w:sz w:val="17"/>
              </w:rPr>
              <w:t>Moderate (Rank 2)</w:t>
            </w:r>
          </w:p>
        </w:tc>
      </w:tr>
      <w:tr>
        <w:tc>
          <w:tcPr>
            <w:tcW w:type="dxa" w:w="2592"/>
            <w:tcMar>
              <w:top w:w="35" w:type="dxa"/>
              <w:bottom w:w="35" w:type="dxa"/>
              <w:left w:w="50" w:type="dxa"/>
              <w:right w:w="50" w:type="dxa"/>
            </w:tcMar>
          </w:tcPr>
          <w:p>
            <w:pPr>
              <w:jc w:val="left"/>
            </w:pPr>
            <w:r>
              <w:rPr>
                <w:rFonts w:ascii="Times New Roman" w:hAnsi="Times New Roman"/>
                <w:b/>
                <w:sz w:val="17"/>
              </w:rPr>
              <w:t>X-Learner (Propensity)</w:t>
            </w:r>
          </w:p>
        </w:tc>
        <w:tc>
          <w:tcPr>
            <w:tcW w:type="dxa" w:w="1728"/>
            <w:tcMar>
              <w:top w:w="35" w:type="dxa"/>
              <w:bottom w:w="35" w:type="dxa"/>
              <w:left w:w="50" w:type="dxa"/>
              <w:right w:w="50" w:type="dxa"/>
            </w:tcMar>
          </w:tcPr>
          <w:p>
            <w:pPr>
              <w:jc w:val="center"/>
            </w:pPr>
            <w:r>
              <w:rPr>
                <w:rFonts w:ascii="Times New Roman" w:hAnsi="Times New Roman"/>
                <w:sz w:val="17"/>
              </w:rPr>
              <w:t>0.6815</w:t>
            </w:r>
          </w:p>
        </w:tc>
        <w:tc>
          <w:tcPr>
            <w:tcW w:type="dxa" w:w="1584"/>
            <w:tcMar>
              <w:top w:w="35" w:type="dxa"/>
              <w:bottom w:w="35" w:type="dxa"/>
              <w:left w:w="50" w:type="dxa"/>
              <w:right w:w="50" w:type="dxa"/>
            </w:tcMar>
          </w:tcPr>
          <w:p>
            <w:pPr>
              <w:jc w:val="center"/>
            </w:pPr>
            <w:r>
              <w:rPr>
                <w:rFonts w:ascii="Times New Roman" w:hAnsi="Times New Roman"/>
                <w:sz w:val="17"/>
              </w:rPr>
              <w:t>0.0428</w:t>
            </w:r>
          </w:p>
        </w:tc>
        <w:tc>
          <w:tcPr>
            <w:tcW w:type="dxa" w:w="1584"/>
            <w:tcMar>
              <w:top w:w="35" w:type="dxa"/>
              <w:bottom w:w="35" w:type="dxa"/>
              <w:left w:w="50" w:type="dxa"/>
              <w:right w:w="50" w:type="dxa"/>
            </w:tcMar>
          </w:tcPr>
          <w:p>
            <w:pPr>
              <w:jc w:val="center"/>
            </w:pPr>
            <w:r>
              <w:rPr>
                <w:rFonts w:ascii="Times New Roman" w:hAnsi="Times New Roman"/>
                <w:sz w:val="17"/>
              </w:rPr>
              <w:t>+0.0% to +27.9%</w:t>
            </w:r>
          </w:p>
        </w:tc>
        <w:tc>
          <w:tcPr>
            <w:tcW w:type="dxa" w:w="1872"/>
            <w:tcMar>
              <w:top w:w="35" w:type="dxa"/>
              <w:bottom w:w="35" w:type="dxa"/>
              <w:left w:w="50" w:type="dxa"/>
              <w:right w:w="50" w:type="dxa"/>
            </w:tcMar>
          </w:tcPr>
          <w:p>
            <w:pPr>
              <w:jc w:val="left"/>
            </w:pPr>
            <w:r>
              <w:rPr>
                <w:rFonts w:ascii="Times New Roman" w:hAnsi="Times New Roman"/>
                <w:sz w:val="17"/>
              </w:rPr>
              <w:t>Strong (Rank 2)</w:t>
            </w:r>
          </w:p>
        </w:tc>
      </w:tr>
    </w:tbl>
    <w:p>
      <w:pPr>
        <w:spacing w:before="80" w:after="200" w:line="276" w:lineRule="auto"/>
        <w:jc w:val="center"/>
      </w:pPr>
      <w:r>
        <w:rPr>
          <w:rFonts w:ascii="Times New Roman" w:hAnsi="Times New Roman"/>
          <w:b/>
          <w:i/>
          <w:sz w:val="18"/>
        </w:rPr>
        <w:t>Table 5.4: Causal Meta-Learner Uplift Performance Comparison</w:t>
      </w:r>
    </w:p>
    <w:p>
      <w:pPr>
        <w:spacing w:before="120" w:after="40"/>
        <w:jc w:val="center"/>
      </w:pPr>
      <w:r>
        <w:drawing>
          <wp:inline xmlns:a="http://schemas.openxmlformats.org/drawingml/2006/main" xmlns:pic="http://schemas.openxmlformats.org/drawingml/2006/picture">
            <wp:extent cx="4754880" cy="2641600"/>
            <wp:docPr id="12" name="Picture 12"/>
            <wp:cNvGraphicFramePr>
              <a:graphicFrameLocks noChangeAspect="1"/>
            </wp:cNvGraphicFramePr>
            <a:graphic>
              <a:graphicData uri="http://schemas.openxmlformats.org/drawingml/2006/picture">
                <pic:pic>
                  <pic:nvPicPr>
                    <pic:cNvPr id="0" name="cate_distributions.png"/>
                    <pic:cNvPicPr/>
                  </pic:nvPicPr>
                  <pic:blipFill>
                    <a:blip r:embed="rId22"/>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b/>
          <w:i/>
          <w:color w:val="23324B"/>
          <w:sz w:val="19"/>
        </w:rPr>
        <w:t>Figure 5.6: Heterogeneous Uplift (CATE) Distributions Across Four Retention Treatment Arms</w:t>
      </w:r>
    </w:p>
    <w:p>
      <w:pPr>
        <w:spacing w:before="0" w:after="160" w:line="276" w:lineRule="auto"/>
        <w:jc w:val="both"/>
      </w:pPr>
      <w:r>
        <w:rPr>
          <w:rFonts w:ascii="Times New Roman" w:hAnsi="Times New Roman"/>
          <w:color w:val="1E232D"/>
          <w:sz w:val="22"/>
        </w:rPr>
        <w:t>Figure 5.6 confirms substantial heterogeneity in treatment sensitivity: Contract Incentives deliver up to +28.4% survival gain, while Tech Support and Bill Discounts deliver targeted uplift of +12% to +18% among fiber and high-charge subscribers.</w:t>
      </w:r>
    </w:p>
    <w:p>
      <w:pPr>
        <w:spacing w:before="120" w:after="60" w:line="276" w:lineRule="auto"/>
        <w:jc w:val="left"/>
      </w:pPr>
      <w:r>
        <w:rPr>
          <w:rFonts w:ascii="Times New Roman" w:hAnsi="Times New Roman"/>
          <w:b/>
          <w:color w:val="1E3C64"/>
          <w:sz w:val="23"/>
        </w:rPr>
        <w:t>5.1.8 Prescriptive Ranking &amp; Portfolio ERV Optimization</w:t>
      </w:r>
    </w:p>
    <w:p>
      <w:pPr>
        <w:spacing w:before="0" w:after="80" w:line="276" w:lineRule="auto"/>
        <w:jc w:val="both"/>
      </w:pPr>
      <w:r>
        <w:rPr>
          <w:rFonts w:ascii="Times New Roman" w:hAnsi="Times New Roman"/>
          <w:color w:val="1E232D"/>
          <w:sz w:val="22"/>
        </w:rPr>
        <w:t>Portfolio budget knapsack optimization was evaluated across five spend tiers ($2,500 to $20,000) over 1,873 at-risk candidates. Table 5.5 documents the frontier from outputs/reports/budget_sweep_report.json, and Figure 5.7 visualizes the ROI curve:</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536"/>
        <w:gridCol w:w="1536"/>
        <w:gridCol w:w="1536"/>
        <w:gridCol w:w="1536"/>
        <w:gridCol w:w="1536"/>
        <w:gridCol w:w="1536"/>
      </w:tblGrid>
      <w:tr>
        <w:tc>
          <w:tcPr>
            <w:tcW w:type="dxa" w:w="1584"/>
            <w:shd w:fill="152035"/>
            <w:tcMar>
              <w:top w:w="45" w:type="dxa"/>
              <w:bottom w:w="45" w:type="dxa"/>
              <w:left w:w="45" w:type="dxa"/>
              <w:right w:w="45" w:type="dxa"/>
            </w:tcMar>
          </w:tcPr>
          <w:p>
            <w:pPr>
              <w:jc w:val="center"/>
            </w:pPr>
            <w:r>
              <w:rPr>
                <w:rFonts w:ascii="Times New Roman" w:hAnsi="Times New Roman"/>
                <w:b/>
                <w:color w:val="FFFFFF"/>
                <w:sz w:val="17"/>
              </w:rPr>
              <w:t>BUDGET CAP</w:t>
            </w:r>
          </w:p>
        </w:tc>
        <w:tc>
          <w:tcPr>
            <w:tcW w:type="dxa" w:w="1584"/>
            <w:shd w:fill="152035"/>
            <w:tcMar>
              <w:top w:w="45" w:type="dxa"/>
              <w:bottom w:w="45" w:type="dxa"/>
              <w:left w:w="45" w:type="dxa"/>
              <w:right w:w="45" w:type="dxa"/>
            </w:tcMar>
          </w:tcPr>
          <w:p>
            <w:pPr>
              <w:jc w:val="center"/>
            </w:pPr>
            <w:r>
              <w:rPr>
                <w:rFonts w:ascii="Times New Roman" w:hAnsi="Times New Roman"/>
                <w:b/>
                <w:color w:val="FFFFFF"/>
                <w:sz w:val="17"/>
              </w:rPr>
              <w:t>ACTUAL SPENT</w:t>
            </w:r>
          </w:p>
        </w:tc>
        <w:tc>
          <w:tcPr>
            <w:tcW w:type="dxa" w:w="1584"/>
            <w:shd w:fill="152035"/>
            <w:tcMar>
              <w:top w:w="45" w:type="dxa"/>
              <w:bottom w:w="45" w:type="dxa"/>
              <w:left w:w="45" w:type="dxa"/>
              <w:right w:w="45" w:type="dxa"/>
            </w:tcMar>
          </w:tcPr>
          <w:p>
            <w:pPr>
              <w:jc w:val="center"/>
            </w:pPr>
            <w:r>
              <w:rPr>
                <w:rFonts w:ascii="Times New Roman" w:hAnsi="Times New Roman"/>
                <w:b/>
                <w:color w:val="FFFFFF"/>
                <w:sz w:val="17"/>
              </w:rPr>
              <w:t>ACCOUNTS ALLOC.</w:t>
            </w:r>
          </w:p>
        </w:tc>
        <w:tc>
          <w:tcPr>
            <w:tcW w:type="dxa" w:w="1584"/>
            <w:shd w:fill="152035"/>
            <w:tcMar>
              <w:top w:w="45" w:type="dxa"/>
              <w:bottom w:w="45" w:type="dxa"/>
              <w:left w:w="45" w:type="dxa"/>
              <w:right w:w="45" w:type="dxa"/>
            </w:tcMar>
          </w:tcPr>
          <w:p>
            <w:pPr>
              <w:jc w:val="center"/>
            </w:pPr>
            <w:r>
              <w:rPr>
                <w:rFonts w:ascii="Times New Roman" w:hAnsi="Times New Roman"/>
                <w:b/>
                <w:color w:val="FFFFFF"/>
                <w:sz w:val="17"/>
              </w:rPr>
              <w:t>PORTFOLIO ERV</w:t>
            </w:r>
          </w:p>
        </w:tc>
        <w:tc>
          <w:tcPr>
            <w:tcW w:type="dxa" w:w="1584"/>
            <w:shd w:fill="152035"/>
            <w:tcMar>
              <w:top w:w="45" w:type="dxa"/>
              <w:bottom w:w="45" w:type="dxa"/>
              <w:left w:w="45" w:type="dxa"/>
              <w:right w:w="45" w:type="dxa"/>
            </w:tcMar>
          </w:tcPr>
          <w:p>
            <w:pPr>
              <w:jc w:val="center"/>
            </w:pPr>
            <w:r>
              <w:rPr>
                <w:rFonts w:ascii="Times New Roman" w:hAnsi="Times New Roman"/>
                <w:b/>
                <w:color w:val="FFFFFF"/>
                <w:sz w:val="17"/>
              </w:rPr>
              <w:t>NET ERV</w:t>
            </w:r>
          </w:p>
        </w:tc>
        <w:tc>
          <w:tcPr>
            <w:tcW w:type="dxa" w:w="1584"/>
            <w:shd w:fill="152035"/>
            <w:tcMar>
              <w:top w:w="45" w:type="dxa"/>
              <w:bottom w:w="45" w:type="dxa"/>
              <w:left w:w="45" w:type="dxa"/>
              <w:right w:w="45" w:type="dxa"/>
            </w:tcMar>
          </w:tcPr>
          <w:p>
            <w:pPr>
              <w:jc w:val="center"/>
            </w:pPr>
            <w:r>
              <w:rPr>
                <w:rFonts w:ascii="Times New Roman" w:hAnsi="Times New Roman"/>
                <w:b/>
                <w:color w:val="FFFFFF"/>
                <w:sz w:val="17"/>
              </w:rPr>
              <w:t>CAMPAIGN ROI</w:t>
            </w:r>
          </w:p>
        </w:tc>
      </w:tr>
      <w:tr>
        <w:tc>
          <w:tcPr>
            <w:tcW w:type="dxa" w:w="1584"/>
            <w:tcMar>
              <w:top w:w="35" w:type="dxa"/>
              <w:bottom w:w="35" w:type="dxa"/>
              <w:left w:w="45" w:type="dxa"/>
              <w:right w:w="45" w:type="dxa"/>
            </w:tcMar>
          </w:tcPr>
          <w:p>
            <w:pPr>
              <w:jc w:val="center"/>
            </w:pPr>
            <w:r>
              <w:rPr>
                <w:rFonts w:ascii="Times New Roman" w:hAnsi="Times New Roman"/>
                <w:b/>
                <w:sz w:val="17"/>
              </w:rPr>
              <w:t>$2,500</w:t>
            </w:r>
          </w:p>
        </w:tc>
        <w:tc>
          <w:tcPr>
            <w:tcW w:type="dxa" w:w="1584"/>
            <w:tcMar>
              <w:top w:w="35" w:type="dxa"/>
              <w:bottom w:w="35" w:type="dxa"/>
              <w:left w:w="45" w:type="dxa"/>
              <w:right w:w="45" w:type="dxa"/>
            </w:tcMar>
          </w:tcPr>
          <w:p>
            <w:pPr>
              <w:jc w:val="center"/>
            </w:pPr>
            <w:r>
              <w:rPr>
                <w:rFonts w:ascii="Times New Roman" w:hAnsi="Times New Roman"/>
                <w:sz w:val="17"/>
              </w:rPr>
              <w:t>$2,485</w:t>
            </w:r>
          </w:p>
        </w:tc>
        <w:tc>
          <w:tcPr>
            <w:tcW w:type="dxa" w:w="1584"/>
            <w:tcMar>
              <w:top w:w="35" w:type="dxa"/>
              <w:bottom w:w="35" w:type="dxa"/>
              <w:left w:w="45" w:type="dxa"/>
              <w:right w:w="45" w:type="dxa"/>
            </w:tcMar>
          </w:tcPr>
          <w:p>
            <w:pPr>
              <w:jc w:val="center"/>
            </w:pPr>
            <w:r>
              <w:rPr>
                <w:rFonts w:ascii="Times New Roman" w:hAnsi="Times New Roman"/>
                <w:sz w:val="17"/>
              </w:rPr>
              <w:t>312 (16.7%)</w:t>
            </w:r>
          </w:p>
        </w:tc>
        <w:tc>
          <w:tcPr>
            <w:tcW w:type="dxa" w:w="1584"/>
            <w:tcMar>
              <w:top w:w="35" w:type="dxa"/>
              <w:bottom w:w="35" w:type="dxa"/>
              <w:left w:w="45" w:type="dxa"/>
              <w:right w:w="45" w:type="dxa"/>
            </w:tcMar>
          </w:tcPr>
          <w:p>
            <w:pPr>
              <w:jc w:val="center"/>
            </w:pPr>
            <w:r>
              <w:rPr>
                <w:rFonts w:ascii="Times New Roman" w:hAnsi="Times New Roman"/>
                <w:sz w:val="17"/>
              </w:rPr>
              <w:t>$12,420</w:t>
            </w:r>
          </w:p>
        </w:tc>
        <w:tc>
          <w:tcPr>
            <w:tcW w:type="dxa" w:w="1584"/>
            <w:tcMar>
              <w:top w:w="35" w:type="dxa"/>
              <w:bottom w:w="35" w:type="dxa"/>
              <w:left w:w="45" w:type="dxa"/>
              <w:right w:w="45" w:type="dxa"/>
            </w:tcMar>
          </w:tcPr>
          <w:p>
            <w:pPr>
              <w:jc w:val="center"/>
            </w:pPr>
            <w:r>
              <w:rPr>
                <w:rFonts w:ascii="Times New Roman" w:hAnsi="Times New Roman"/>
                <w:sz w:val="17"/>
              </w:rPr>
              <w:t>$9,935</w:t>
            </w:r>
          </w:p>
        </w:tc>
        <w:tc>
          <w:tcPr>
            <w:tcW w:type="dxa" w:w="1584"/>
            <w:tcMar>
              <w:top w:w="35" w:type="dxa"/>
              <w:bottom w:w="35" w:type="dxa"/>
              <w:left w:w="45" w:type="dxa"/>
              <w:right w:w="45" w:type="dxa"/>
            </w:tcMar>
          </w:tcPr>
          <w:p>
            <w:pPr>
              <w:jc w:val="center"/>
            </w:pPr>
            <w:r>
              <w:rPr>
                <w:rFonts w:ascii="Times New Roman" w:hAnsi="Times New Roman"/>
                <w:sz w:val="17"/>
              </w:rPr>
              <w:t>399.8%</w:t>
            </w:r>
          </w:p>
        </w:tc>
      </w:tr>
      <w:tr>
        <w:tc>
          <w:tcPr>
            <w:tcW w:type="dxa" w:w="1584"/>
            <w:tcMar>
              <w:top w:w="35" w:type="dxa"/>
              <w:bottom w:w="35" w:type="dxa"/>
              <w:left w:w="45" w:type="dxa"/>
              <w:right w:w="45" w:type="dxa"/>
            </w:tcMar>
          </w:tcPr>
          <w:p>
            <w:pPr>
              <w:jc w:val="center"/>
            </w:pPr>
            <w:r>
              <w:rPr>
                <w:rFonts w:ascii="Times New Roman" w:hAnsi="Times New Roman"/>
                <w:b/>
                <w:sz w:val="17"/>
              </w:rPr>
              <w:t>$5,000</w:t>
            </w:r>
          </w:p>
        </w:tc>
        <w:tc>
          <w:tcPr>
            <w:tcW w:type="dxa" w:w="1584"/>
            <w:tcMar>
              <w:top w:w="35" w:type="dxa"/>
              <w:bottom w:w="35" w:type="dxa"/>
              <w:left w:w="45" w:type="dxa"/>
              <w:right w:w="45" w:type="dxa"/>
            </w:tcMar>
          </w:tcPr>
          <w:p>
            <w:pPr>
              <w:jc w:val="center"/>
            </w:pPr>
            <w:r>
              <w:rPr>
                <w:rFonts w:ascii="Times New Roman" w:hAnsi="Times New Roman"/>
                <w:sz w:val="17"/>
              </w:rPr>
              <w:t>$4,980</w:t>
            </w:r>
          </w:p>
        </w:tc>
        <w:tc>
          <w:tcPr>
            <w:tcW w:type="dxa" w:w="1584"/>
            <w:tcMar>
              <w:top w:w="35" w:type="dxa"/>
              <w:bottom w:w="35" w:type="dxa"/>
              <w:left w:w="45" w:type="dxa"/>
              <w:right w:w="45" w:type="dxa"/>
            </w:tcMar>
          </w:tcPr>
          <w:p>
            <w:pPr>
              <w:jc w:val="center"/>
            </w:pPr>
            <w:r>
              <w:rPr>
                <w:rFonts w:ascii="Times New Roman" w:hAnsi="Times New Roman"/>
                <w:sz w:val="17"/>
              </w:rPr>
              <w:t>548 (29.3%)</w:t>
            </w:r>
          </w:p>
        </w:tc>
        <w:tc>
          <w:tcPr>
            <w:tcW w:type="dxa" w:w="1584"/>
            <w:tcMar>
              <w:top w:w="35" w:type="dxa"/>
              <w:bottom w:w="35" w:type="dxa"/>
              <w:left w:w="45" w:type="dxa"/>
              <w:right w:w="45" w:type="dxa"/>
            </w:tcMar>
          </w:tcPr>
          <w:p>
            <w:pPr>
              <w:jc w:val="center"/>
            </w:pPr>
            <w:r>
              <w:rPr>
                <w:rFonts w:ascii="Times New Roman" w:hAnsi="Times New Roman"/>
                <w:sz w:val="17"/>
              </w:rPr>
              <w:t>$23,890</w:t>
            </w:r>
          </w:p>
        </w:tc>
        <w:tc>
          <w:tcPr>
            <w:tcW w:type="dxa" w:w="1584"/>
            <w:tcMar>
              <w:top w:w="35" w:type="dxa"/>
              <w:bottom w:w="35" w:type="dxa"/>
              <w:left w:w="45" w:type="dxa"/>
              <w:right w:w="45" w:type="dxa"/>
            </w:tcMar>
          </w:tcPr>
          <w:p>
            <w:pPr>
              <w:jc w:val="center"/>
            </w:pPr>
            <w:r>
              <w:rPr>
                <w:rFonts w:ascii="Times New Roman" w:hAnsi="Times New Roman"/>
                <w:sz w:val="17"/>
              </w:rPr>
              <w:t>$18,910</w:t>
            </w:r>
          </w:p>
        </w:tc>
        <w:tc>
          <w:tcPr>
            <w:tcW w:type="dxa" w:w="1584"/>
            <w:tcMar>
              <w:top w:w="35" w:type="dxa"/>
              <w:bottom w:w="35" w:type="dxa"/>
              <w:left w:w="45" w:type="dxa"/>
              <w:right w:w="45" w:type="dxa"/>
            </w:tcMar>
          </w:tcPr>
          <w:p>
            <w:pPr>
              <w:jc w:val="center"/>
            </w:pPr>
            <w:r>
              <w:rPr>
                <w:rFonts w:ascii="Times New Roman" w:hAnsi="Times New Roman"/>
                <w:sz w:val="17"/>
              </w:rPr>
              <w:t>379.7%</w:t>
            </w:r>
          </w:p>
        </w:tc>
      </w:tr>
      <w:tr>
        <w:tc>
          <w:tcPr>
            <w:tcW w:type="dxa" w:w="1584"/>
            <w:tcMar>
              <w:top w:w="35" w:type="dxa"/>
              <w:bottom w:w="35" w:type="dxa"/>
              <w:left w:w="45" w:type="dxa"/>
              <w:right w:w="45" w:type="dxa"/>
            </w:tcMar>
          </w:tcPr>
          <w:p>
            <w:pPr>
              <w:jc w:val="center"/>
            </w:pPr>
            <w:r>
              <w:rPr>
                <w:rFonts w:ascii="Times New Roman" w:hAnsi="Times New Roman"/>
                <w:b/>
                <w:sz w:val="17"/>
              </w:rPr>
              <w:t>$10,000</w:t>
            </w:r>
          </w:p>
        </w:tc>
        <w:tc>
          <w:tcPr>
            <w:tcW w:type="dxa" w:w="1584"/>
            <w:tcMar>
              <w:top w:w="35" w:type="dxa"/>
              <w:bottom w:w="35" w:type="dxa"/>
              <w:left w:w="45" w:type="dxa"/>
              <w:right w:w="45" w:type="dxa"/>
            </w:tcMar>
          </w:tcPr>
          <w:p>
            <w:pPr>
              <w:jc w:val="center"/>
            </w:pPr>
            <w:r>
              <w:rPr>
                <w:rFonts w:ascii="Times New Roman" w:hAnsi="Times New Roman"/>
                <w:sz w:val="17"/>
              </w:rPr>
              <w:t>$9,965</w:t>
            </w:r>
          </w:p>
        </w:tc>
        <w:tc>
          <w:tcPr>
            <w:tcW w:type="dxa" w:w="1584"/>
            <w:tcMar>
              <w:top w:w="35" w:type="dxa"/>
              <w:bottom w:w="35" w:type="dxa"/>
              <w:left w:w="45" w:type="dxa"/>
              <w:right w:w="45" w:type="dxa"/>
            </w:tcMar>
          </w:tcPr>
          <w:p>
            <w:pPr>
              <w:jc w:val="center"/>
            </w:pPr>
            <w:r>
              <w:rPr>
                <w:rFonts w:ascii="Times New Roman" w:hAnsi="Times New Roman"/>
                <w:sz w:val="17"/>
              </w:rPr>
              <w:t>924 (49.3%)</w:t>
            </w:r>
          </w:p>
        </w:tc>
        <w:tc>
          <w:tcPr>
            <w:tcW w:type="dxa" w:w="1584"/>
            <w:tcMar>
              <w:top w:w="35" w:type="dxa"/>
              <w:bottom w:w="35" w:type="dxa"/>
              <w:left w:w="45" w:type="dxa"/>
              <w:right w:w="45" w:type="dxa"/>
            </w:tcMar>
          </w:tcPr>
          <w:p>
            <w:pPr>
              <w:jc w:val="center"/>
            </w:pPr>
            <w:r>
              <w:rPr>
                <w:rFonts w:ascii="Times New Roman" w:hAnsi="Times New Roman"/>
                <w:sz w:val="17"/>
              </w:rPr>
              <w:t>$44,210</w:t>
            </w:r>
          </w:p>
        </w:tc>
        <w:tc>
          <w:tcPr>
            <w:tcW w:type="dxa" w:w="1584"/>
            <w:tcMar>
              <w:top w:w="35" w:type="dxa"/>
              <w:bottom w:w="35" w:type="dxa"/>
              <w:left w:w="45" w:type="dxa"/>
              <w:right w:w="45" w:type="dxa"/>
            </w:tcMar>
          </w:tcPr>
          <w:p>
            <w:pPr>
              <w:jc w:val="center"/>
            </w:pPr>
            <w:r>
              <w:rPr>
                <w:rFonts w:ascii="Times New Roman" w:hAnsi="Times New Roman"/>
                <w:sz w:val="17"/>
              </w:rPr>
              <w:t>$34,245</w:t>
            </w:r>
          </w:p>
        </w:tc>
        <w:tc>
          <w:tcPr>
            <w:tcW w:type="dxa" w:w="1584"/>
            <w:tcMar>
              <w:top w:w="35" w:type="dxa"/>
              <w:bottom w:w="35" w:type="dxa"/>
              <w:left w:w="45" w:type="dxa"/>
              <w:right w:w="45" w:type="dxa"/>
            </w:tcMar>
          </w:tcPr>
          <w:p>
            <w:pPr>
              <w:jc w:val="center"/>
            </w:pPr>
            <w:r>
              <w:rPr>
                <w:rFonts w:ascii="Times New Roman" w:hAnsi="Times New Roman"/>
                <w:sz w:val="17"/>
              </w:rPr>
              <w:t>343.7%</w:t>
            </w:r>
          </w:p>
        </w:tc>
      </w:tr>
      <w:tr>
        <w:tc>
          <w:tcPr>
            <w:tcW w:type="dxa" w:w="1584"/>
            <w:tcMar>
              <w:top w:w="35" w:type="dxa"/>
              <w:bottom w:w="35" w:type="dxa"/>
              <w:left w:w="45" w:type="dxa"/>
              <w:right w:w="45" w:type="dxa"/>
            </w:tcMar>
          </w:tcPr>
          <w:p>
            <w:pPr>
              <w:jc w:val="center"/>
            </w:pPr>
            <w:r>
              <w:rPr>
                <w:rFonts w:ascii="Times New Roman" w:hAnsi="Times New Roman"/>
                <w:b/>
                <w:sz w:val="17"/>
              </w:rPr>
              <w:t>$15,000</w:t>
            </w:r>
          </w:p>
        </w:tc>
        <w:tc>
          <w:tcPr>
            <w:tcW w:type="dxa" w:w="1584"/>
            <w:tcMar>
              <w:top w:w="35" w:type="dxa"/>
              <w:bottom w:w="35" w:type="dxa"/>
              <w:left w:w="45" w:type="dxa"/>
              <w:right w:w="45" w:type="dxa"/>
            </w:tcMar>
          </w:tcPr>
          <w:p>
            <w:pPr>
              <w:jc w:val="center"/>
            </w:pPr>
            <w:r>
              <w:rPr>
                <w:rFonts w:ascii="Times New Roman" w:hAnsi="Times New Roman"/>
                <w:sz w:val="17"/>
              </w:rPr>
              <w:t>$14,860</w:t>
            </w:r>
          </w:p>
        </w:tc>
        <w:tc>
          <w:tcPr>
            <w:tcW w:type="dxa" w:w="1584"/>
            <w:tcMar>
              <w:top w:w="35" w:type="dxa"/>
              <w:bottom w:w="35" w:type="dxa"/>
              <w:left w:w="45" w:type="dxa"/>
              <w:right w:w="45" w:type="dxa"/>
            </w:tcMar>
          </w:tcPr>
          <w:p>
            <w:pPr>
              <w:jc w:val="center"/>
            </w:pPr>
            <w:r>
              <w:rPr>
                <w:rFonts w:ascii="Times New Roman" w:hAnsi="Times New Roman"/>
                <w:sz w:val="17"/>
              </w:rPr>
              <w:t>1,248 (66.6%)</w:t>
            </w:r>
          </w:p>
        </w:tc>
        <w:tc>
          <w:tcPr>
            <w:tcW w:type="dxa" w:w="1584"/>
            <w:tcMar>
              <w:top w:w="35" w:type="dxa"/>
              <w:bottom w:w="35" w:type="dxa"/>
              <w:left w:w="45" w:type="dxa"/>
              <w:right w:w="45" w:type="dxa"/>
            </w:tcMar>
          </w:tcPr>
          <w:p>
            <w:pPr>
              <w:jc w:val="center"/>
            </w:pPr>
            <w:r>
              <w:rPr>
                <w:rFonts w:ascii="Times New Roman" w:hAnsi="Times New Roman"/>
                <w:sz w:val="17"/>
              </w:rPr>
              <w:t>$63,780</w:t>
            </w:r>
          </w:p>
        </w:tc>
        <w:tc>
          <w:tcPr>
            <w:tcW w:type="dxa" w:w="1584"/>
            <w:tcMar>
              <w:top w:w="35" w:type="dxa"/>
              <w:bottom w:w="35" w:type="dxa"/>
              <w:left w:w="45" w:type="dxa"/>
              <w:right w:w="45" w:type="dxa"/>
            </w:tcMar>
          </w:tcPr>
          <w:p>
            <w:pPr>
              <w:jc w:val="center"/>
            </w:pPr>
            <w:r>
              <w:rPr>
                <w:rFonts w:ascii="Times New Roman" w:hAnsi="Times New Roman"/>
                <w:b/>
                <w:color w:val="146E2D"/>
                <w:sz w:val="17"/>
              </w:rPr>
              <w:t>$48,920</w:t>
            </w:r>
          </w:p>
        </w:tc>
        <w:tc>
          <w:tcPr>
            <w:tcW w:type="dxa" w:w="1584"/>
            <w:tcMar>
              <w:top w:w="35" w:type="dxa"/>
              <w:bottom w:w="35" w:type="dxa"/>
              <w:left w:w="45" w:type="dxa"/>
              <w:right w:w="45" w:type="dxa"/>
            </w:tcMar>
          </w:tcPr>
          <w:p>
            <w:pPr>
              <w:jc w:val="center"/>
            </w:pPr>
            <w:r>
              <w:rPr>
                <w:rFonts w:ascii="Times New Roman" w:hAnsi="Times New Roman"/>
                <w:sz w:val="17"/>
              </w:rPr>
              <w:t>329.2% (Optimal)</w:t>
            </w:r>
          </w:p>
        </w:tc>
      </w:tr>
      <w:tr>
        <w:tc>
          <w:tcPr>
            <w:tcW w:type="dxa" w:w="1584"/>
            <w:tcMar>
              <w:top w:w="35" w:type="dxa"/>
              <w:bottom w:w="35" w:type="dxa"/>
              <w:left w:w="45" w:type="dxa"/>
              <w:right w:w="45" w:type="dxa"/>
            </w:tcMar>
          </w:tcPr>
          <w:p>
            <w:pPr>
              <w:jc w:val="center"/>
            </w:pPr>
            <w:r>
              <w:rPr>
                <w:rFonts w:ascii="Times New Roman" w:hAnsi="Times New Roman"/>
                <w:b/>
                <w:sz w:val="17"/>
              </w:rPr>
              <w:t>$20,000</w:t>
            </w:r>
          </w:p>
        </w:tc>
        <w:tc>
          <w:tcPr>
            <w:tcW w:type="dxa" w:w="1584"/>
            <w:tcMar>
              <w:top w:w="35" w:type="dxa"/>
              <w:bottom w:w="35" w:type="dxa"/>
              <w:left w:w="45" w:type="dxa"/>
              <w:right w:w="45" w:type="dxa"/>
            </w:tcMar>
          </w:tcPr>
          <w:p>
            <w:pPr>
              <w:jc w:val="center"/>
            </w:pPr>
            <w:r>
              <w:rPr>
                <w:rFonts w:ascii="Times New Roman" w:hAnsi="Times New Roman"/>
                <w:sz w:val="17"/>
              </w:rPr>
              <w:t>$18,240</w:t>
            </w:r>
          </w:p>
        </w:tc>
        <w:tc>
          <w:tcPr>
            <w:tcW w:type="dxa" w:w="1584"/>
            <w:tcMar>
              <w:top w:w="35" w:type="dxa"/>
              <w:bottom w:w="35" w:type="dxa"/>
              <w:left w:w="45" w:type="dxa"/>
              <w:right w:w="45" w:type="dxa"/>
            </w:tcMar>
          </w:tcPr>
          <w:p>
            <w:pPr>
              <w:jc w:val="center"/>
            </w:pPr>
            <w:r>
              <w:rPr>
                <w:rFonts w:ascii="Times New Roman" w:hAnsi="Times New Roman"/>
                <w:sz w:val="17"/>
              </w:rPr>
              <w:t>1,412 (75.4%)</w:t>
            </w:r>
          </w:p>
        </w:tc>
        <w:tc>
          <w:tcPr>
            <w:tcW w:type="dxa" w:w="1584"/>
            <w:tcMar>
              <w:top w:w="35" w:type="dxa"/>
              <w:bottom w:w="35" w:type="dxa"/>
              <w:left w:w="45" w:type="dxa"/>
              <w:right w:w="45" w:type="dxa"/>
            </w:tcMar>
          </w:tcPr>
          <w:p>
            <w:pPr>
              <w:jc w:val="center"/>
            </w:pPr>
            <w:r>
              <w:rPr>
                <w:rFonts w:ascii="Times New Roman" w:hAnsi="Times New Roman"/>
                <w:sz w:val="17"/>
              </w:rPr>
              <w:t>$71,450</w:t>
            </w:r>
          </w:p>
        </w:tc>
        <w:tc>
          <w:tcPr>
            <w:tcW w:type="dxa" w:w="1584"/>
            <w:tcMar>
              <w:top w:w="35" w:type="dxa"/>
              <w:bottom w:w="35" w:type="dxa"/>
              <w:left w:w="45" w:type="dxa"/>
              <w:right w:w="45" w:type="dxa"/>
            </w:tcMar>
          </w:tcPr>
          <w:p>
            <w:pPr>
              <w:jc w:val="center"/>
            </w:pPr>
            <w:r>
              <w:rPr>
                <w:rFonts w:ascii="Times New Roman" w:hAnsi="Times New Roman"/>
                <w:sz w:val="17"/>
              </w:rPr>
              <w:t>$53,210</w:t>
            </w:r>
          </w:p>
        </w:tc>
        <w:tc>
          <w:tcPr>
            <w:tcW w:type="dxa" w:w="1584"/>
            <w:tcMar>
              <w:top w:w="35" w:type="dxa"/>
              <w:bottom w:w="35" w:type="dxa"/>
              <w:left w:w="45" w:type="dxa"/>
              <w:right w:w="45" w:type="dxa"/>
            </w:tcMar>
          </w:tcPr>
          <w:p>
            <w:pPr>
              <w:jc w:val="center"/>
            </w:pPr>
            <w:r>
              <w:rPr>
                <w:rFonts w:ascii="Times New Roman" w:hAnsi="Times New Roman"/>
                <w:sz w:val="17"/>
              </w:rPr>
              <w:t>291.7%</w:t>
            </w:r>
          </w:p>
        </w:tc>
      </w:tr>
    </w:tbl>
    <w:p>
      <w:pPr>
        <w:spacing w:before="80" w:after="200" w:line="276" w:lineRule="auto"/>
        <w:jc w:val="center"/>
      </w:pPr>
      <w:r>
        <w:rPr>
          <w:rFonts w:ascii="Times New Roman" w:hAnsi="Times New Roman"/>
          <w:b/>
          <w:i/>
          <w:sz w:val="18"/>
        </w:rPr>
        <w:t>Table 5.5: Prescriptive Portfolio Knapsack ERV Optimization Frontier</w:t>
      </w:r>
    </w:p>
    <w:p>
      <w:pPr>
        <w:spacing w:before="120" w:after="40"/>
        <w:jc w:val="center"/>
      </w:pPr>
      <w:r>
        <w:drawing>
          <wp:inline xmlns:a="http://schemas.openxmlformats.org/drawingml/2006/main" xmlns:pic="http://schemas.openxmlformats.org/drawingml/2006/picture">
            <wp:extent cx="4754880" cy="2350727"/>
            <wp:docPr id="13" name="Picture 13"/>
            <wp:cNvGraphicFramePr>
              <a:graphicFrameLocks noChangeAspect="1"/>
            </wp:cNvGraphicFramePr>
            <a:graphic>
              <a:graphicData uri="http://schemas.openxmlformats.org/drawingml/2006/picture">
                <pic:pic>
                  <pic:nvPicPr>
                    <pic:cNvPr id="0" name="erv_optimization_curve.png"/>
                    <pic:cNvPicPr/>
                  </pic:nvPicPr>
                  <pic:blipFill>
                    <a:blip r:embed="rId23"/>
                    <a:stretch>
                      <a:fillRect/>
                    </a:stretch>
                  </pic:blipFill>
                  <pic:spPr>
                    <a:xfrm>
                      <a:off x="0" y="0"/>
                      <a:ext cx="4754880" cy="2350727"/>
                    </a:xfrm>
                    <a:prstGeom prst="rect"/>
                  </pic:spPr>
                </pic:pic>
              </a:graphicData>
            </a:graphic>
          </wp:inline>
        </w:drawing>
      </w:r>
    </w:p>
    <w:p>
      <w:pPr>
        <w:spacing w:before="40" w:after="160"/>
        <w:jc w:val="center"/>
      </w:pPr>
      <w:r>
        <w:rPr>
          <w:rFonts w:ascii="Times New Roman" w:hAnsi="Times New Roman"/>
          <w:b/>
          <w:i/>
          <w:color w:val="23324B"/>
          <w:sz w:val="19"/>
        </w:rPr>
        <w:t>Figure 5.7: Portfolio Expected Retention Value (ERV) and Net ROI Frontier Under Budget Constraints</w:t>
      </w:r>
    </w:p>
    <w:p>
      <w:pPr>
        <w:spacing w:before="0" w:after="160" w:line="276" w:lineRule="auto"/>
        <w:jc w:val="both"/>
      </w:pPr>
      <w:r>
        <w:rPr>
          <w:rFonts w:ascii="Times New Roman" w:hAnsi="Times New Roman"/>
          <w:color w:val="1E232D"/>
          <w:sz w:val="22"/>
        </w:rPr>
        <w:t>As established in Table 5.5 and Figure 5.7, the optimal economic tier is reached at $15,000, allocating 1,248 accounts to capture $48,920 in Net ERV at an outstanding 329.2% ROI.</w:t>
      </w:r>
    </w:p>
    <w:p>
      <w:pPr>
        <w:spacing w:before="120" w:after="60" w:line="276" w:lineRule="auto"/>
        <w:jc w:val="left"/>
      </w:pPr>
      <w:r>
        <w:rPr>
          <w:rFonts w:ascii="Times New Roman" w:hAnsi="Times New Roman"/>
          <w:b/>
          <w:color w:val="1E3C64"/>
          <w:sz w:val="23"/>
        </w:rPr>
        <w:t>5.1.9 Model Explainability &amp; Hazard Attribution</w:t>
      </w:r>
    </w:p>
    <w:p>
      <w:pPr>
        <w:spacing w:before="0" w:after="80" w:line="276" w:lineRule="auto"/>
        <w:jc w:val="both"/>
      </w:pPr>
      <w:r>
        <w:rPr>
          <w:rFonts w:ascii="Times New Roman" w:hAnsi="Times New Roman"/>
          <w:color w:val="1E232D"/>
          <w:sz w:val="22"/>
        </w:rPr>
        <w:t>Feature hazard ratios from Cox regression (HR = exp(beta)) and global permutation importance quantify operational risk drivers. Table 5.6 details the hazard ratios, and Figures 5.8–5.9 visualize the attribution summaries: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592"/>
            <w:shd w:fill="152035"/>
            <w:tcMar>
              <w:top w:w="50" w:type="dxa"/>
              <w:bottom w:w="50" w:type="dxa"/>
              <w:left w:w="50" w:type="dxa"/>
              <w:right w:w="50" w:type="dxa"/>
            </w:tcMar>
          </w:tcPr>
          <w:p>
            <w:pPr>
              <w:jc w:val="left"/>
            </w:pPr>
            <w:r>
              <w:rPr>
                <w:rFonts w:ascii="Times New Roman" w:hAnsi="Times New Roman"/>
                <w:b/>
                <w:color w:val="FFFFFF"/>
                <w:sz w:val="17"/>
              </w:rPr>
              <w:t>FEATURE ATTRIBUTE</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HAZARD RATIO</w:t>
            </w:r>
          </w:p>
        </w:tc>
        <w:tc>
          <w:tcPr>
            <w:tcW w:type="dxa" w:w="1728"/>
            <w:shd w:fill="152035"/>
            <w:tcMar>
              <w:top w:w="50" w:type="dxa"/>
              <w:bottom w:w="50" w:type="dxa"/>
              <w:left w:w="50" w:type="dxa"/>
              <w:right w:w="50" w:type="dxa"/>
            </w:tcMar>
          </w:tcPr>
          <w:p>
            <w:pPr>
              <w:jc w:val="center"/>
            </w:pPr>
            <w:r>
              <w:rPr>
                <w:rFonts w:ascii="Times New Roman" w:hAnsi="Times New Roman"/>
                <w:b/>
                <w:color w:val="FFFFFF"/>
                <w:sz w:val="17"/>
              </w:rPr>
              <w:t>95% CONF. INT.</w:t>
            </w:r>
          </w:p>
        </w:tc>
        <w:tc>
          <w:tcPr>
            <w:tcW w:type="dxa" w:w="1440"/>
            <w:shd w:fill="152035"/>
            <w:tcMar>
              <w:top w:w="50" w:type="dxa"/>
              <w:bottom w:w="50" w:type="dxa"/>
              <w:left w:w="50" w:type="dxa"/>
              <w:right w:w="50" w:type="dxa"/>
            </w:tcMar>
          </w:tcPr>
          <w:p>
            <w:pPr>
              <w:jc w:val="center"/>
            </w:pPr>
            <w:r>
              <w:rPr>
                <w:rFonts w:ascii="Times New Roman" w:hAnsi="Times New Roman"/>
                <w:b/>
                <w:color w:val="FFFFFF"/>
                <w:sz w:val="17"/>
              </w:rPr>
              <w:t>P-VALUE</w:t>
            </w:r>
          </w:p>
        </w:tc>
        <w:tc>
          <w:tcPr>
            <w:tcW w:type="dxa" w:w="2016"/>
            <w:shd w:fill="152035"/>
            <w:tcMar>
              <w:top w:w="50" w:type="dxa"/>
              <w:bottom w:w="50" w:type="dxa"/>
              <w:left w:w="50" w:type="dxa"/>
              <w:right w:w="50" w:type="dxa"/>
            </w:tcMar>
          </w:tcPr>
          <w:p>
            <w:pPr>
              <w:jc w:val="left"/>
            </w:pPr>
            <w:r>
              <w:rPr>
                <w:rFonts w:ascii="Times New Roman" w:hAnsi="Times New Roman"/>
                <w:b/>
                <w:color w:val="FFFFFF"/>
                <w:sz w:val="17"/>
              </w:rPr>
              <w:t>IMPACT ON CHURN</w:t>
            </w:r>
          </w:p>
        </w:tc>
      </w:tr>
      <w:tr>
        <w:tc>
          <w:tcPr>
            <w:tcW w:type="dxa" w:w="2592"/>
            <w:tcMar>
              <w:top w:w="40" w:type="dxa"/>
              <w:bottom w:w="40" w:type="dxa"/>
              <w:left w:w="50" w:type="dxa"/>
              <w:right w:w="50" w:type="dxa"/>
            </w:tcMar>
          </w:tcPr>
          <w:p>
            <w:pPr>
              <w:jc w:val="left"/>
            </w:pPr>
            <w:r>
              <w:rPr>
                <w:rFonts w:ascii="Times New Roman" w:hAnsi="Times New Roman"/>
                <w:b/>
                <w:sz w:val="17"/>
              </w:rPr>
              <w:t>is_month_to_month</w:t>
            </w:r>
          </w:p>
        </w:tc>
        <w:tc>
          <w:tcPr>
            <w:tcW w:type="dxa" w:w="1584"/>
            <w:tcMar>
              <w:top w:w="40" w:type="dxa"/>
              <w:bottom w:w="40" w:type="dxa"/>
              <w:left w:w="50" w:type="dxa"/>
              <w:right w:w="50" w:type="dxa"/>
            </w:tcMar>
          </w:tcPr>
          <w:p>
            <w:pPr>
              <w:jc w:val="center"/>
            </w:pPr>
            <w:r>
              <w:rPr>
                <w:rFonts w:ascii="Times New Roman" w:hAnsi="Times New Roman"/>
                <w:b/>
                <w:color w:val="A01E1E"/>
                <w:sz w:val="17"/>
              </w:rPr>
              <w:t>2.793</w:t>
            </w:r>
          </w:p>
        </w:tc>
        <w:tc>
          <w:tcPr>
            <w:tcW w:type="dxa" w:w="1728"/>
            <w:tcMar>
              <w:top w:w="40" w:type="dxa"/>
              <w:bottom w:w="40" w:type="dxa"/>
              <w:left w:w="50" w:type="dxa"/>
              <w:right w:w="50" w:type="dxa"/>
            </w:tcMar>
          </w:tcPr>
          <w:p>
            <w:pPr>
              <w:jc w:val="center"/>
            </w:pPr>
            <w:r>
              <w:rPr>
                <w:rFonts w:ascii="Times New Roman" w:hAnsi="Times New Roman"/>
                <w:sz w:val="17"/>
              </w:rPr>
              <w:t>[2.344, 3.328]</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+179.3% Hazard (High Risk)</w:t>
            </w:r>
          </w:p>
        </w:tc>
      </w:tr>
      <w:tr>
        <w:tc>
          <w:tcPr>
            <w:tcW w:type="dxa" w:w="2592"/>
            <w:tcMar>
              <w:top w:w="40" w:type="dxa"/>
              <w:bottom w:w="40" w:type="dxa"/>
              <w:left w:w="50" w:type="dxa"/>
              <w:right w:w="50" w:type="dxa"/>
            </w:tcMar>
          </w:tcPr>
          <w:p>
            <w:pPr>
              <w:jc w:val="left"/>
            </w:pPr>
            <w:r>
              <w:rPr>
                <w:rFonts w:ascii="Times New Roman" w:hAnsi="Times New Roman"/>
                <w:b/>
                <w:sz w:val="17"/>
              </w:rPr>
              <w:t>is_fiber_optic</w:t>
            </w:r>
          </w:p>
        </w:tc>
        <w:tc>
          <w:tcPr>
            <w:tcW w:type="dxa" w:w="1584"/>
            <w:tcMar>
              <w:top w:w="40" w:type="dxa"/>
              <w:bottom w:w="40" w:type="dxa"/>
              <w:left w:w="50" w:type="dxa"/>
              <w:right w:w="50" w:type="dxa"/>
            </w:tcMar>
          </w:tcPr>
          <w:p>
            <w:pPr>
              <w:jc w:val="center"/>
            </w:pPr>
            <w:r>
              <w:rPr>
                <w:rFonts w:ascii="Times New Roman" w:hAnsi="Times New Roman"/>
                <w:sz w:val="17"/>
              </w:rPr>
              <w:t>1.291</w:t>
            </w:r>
          </w:p>
        </w:tc>
        <w:tc>
          <w:tcPr>
            <w:tcW w:type="dxa" w:w="1728"/>
            <w:tcMar>
              <w:top w:w="40" w:type="dxa"/>
              <w:bottom w:w="40" w:type="dxa"/>
              <w:left w:w="50" w:type="dxa"/>
              <w:right w:w="50" w:type="dxa"/>
            </w:tcMar>
          </w:tcPr>
          <w:p>
            <w:pPr>
              <w:jc w:val="center"/>
            </w:pPr>
            <w:r>
              <w:rPr>
                <w:rFonts w:ascii="Times New Roman" w:hAnsi="Times New Roman"/>
                <w:sz w:val="17"/>
              </w:rPr>
              <w:t>[1.073, 1.554]</w:t>
            </w:r>
          </w:p>
        </w:tc>
        <w:tc>
          <w:tcPr>
            <w:tcW w:type="dxa" w:w="1440"/>
            <w:tcMar>
              <w:top w:w="40" w:type="dxa"/>
              <w:bottom w:w="40" w:type="dxa"/>
              <w:left w:w="50" w:type="dxa"/>
              <w:right w:w="50" w:type="dxa"/>
            </w:tcMar>
          </w:tcPr>
          <w:p>
            <w:pPr>
              <w:jc w:val="center"/>
            </w:pPr>
            <w:r>
              <w:rPr>
                <w:rFonts w:ascii="Times New Roman" w:hAnsi="Times New Roman"/>
                <w:sz w:val="17"/>
              </w:rPr>
              <w:t>0.0068</w:t>
            </w:r>
          </w:p>
        </w:tc>
        <w:tc>
          <w:tcPr>
            <w:tcW w:type="dxa" w:w="2016"/>
            <w:tcMar>
              <w:top w:w="40" w:type="dxa"/>
              <w:bottom w:w="40" w:type="dxa"/>
              <w:left w:w="50" w:type="dxa"/>
              <w:right w:w="50" w:type="dxa"/>
            </w:tcMar>
          </w:tcPr>
          <w:p>
            <w:pPr>
              <w:jc w:val="left"/>
            </w:pPr>
            <w:r>
              <w:rPr>
                <w:rFonts w:ascii="Times New Roman" w:hAnsi="Times New Roman"/>
                <w:sz w:val="17"/>
              </w:rPr>
              <w:t>+29.1% Hazard (Elevated)</w:t>
            </w:r>
          </w:p>
        </w:tc>
      </w:tr>
      <w:tr>
        <w:tc>
          <w:tcPr>
            <w:tcW w:type="dxa" w:w="2592"/>
            <w:tcMar>
              <w:top w:w="40" w:type="dxa"/>
              <w:bottom w:w="40" w:type="dxa"/>
              <w:left w:w="50" w:type="dxa"/>
              <w:right w:w="50" w:type="dxa"/>
            </w:tcMar>
          </w:tcPr>
          <w:p>
            <w:pPr>
              <w:jc w:val="left"/>
            </w:pPr>
            <w:r>
              <w:rPr>
                <w:rFonts w:ascii="Times New Roman" w:hAnsi="Times New Roman"/>
                <w:b/>
                <w:sz w:val="17"/>
              </w:rPr>
              <w:t>electronic_check</w:t>
            </w:r>
          </w:p>
        </w:tc>
        <w:tc>
          <w:tcPr>
            <w:tcW w:type="dxa" w:w="1584"/>
            <w:tcMar>
              <w:top w:w="40" w:type="dxa"/>
              <w:bottom w:w="40" w:type="dxa"/>
              <w:left w:w="50" w:type="dxa"/>
              <w:right w:w="50" w:type="dxa"/>
            </w:tcMar>
          </w:tcPr>
          <w:p>
            <w:pPr>
              <w:jc w:val="center"/>
            </w:pPr>
            <w:r>
              <w:rPr>
                <w:rFonts w:ascii="Times New Roman" w:hAnsi="Times New Roman"/>
                <w:sz w:val="17"/>
              </w:rPr>
              <w:t>1.185</w:t>
            </w:r>
          </w:p>
        </w:tc>
        <w:tc>
          <w:tcPr>
            <w:tcW w:type="dxa" w:w="1728"/>
            <w:tcMar>
              <w:top w:w="40" w:type="dxa"/>
              <w:bottom w:w="40" w:type="dxa"/>
              <w:left w:w="50" w:type="dxa"/>
              <w:right w:w="50" w:type="dxa"/>
            </w:tcMar>
          </w:tcPr>
          <w:p>
            <w:pPr>
              <w:jc w:val="center"/>
            </w:pPr>
            <w:r>
              <w:rPr>
                <w:rFonts w:ascii="Times New Roman" w:hAnsi="Times New Roman"/>
                <w:sz w:val="17"/>
              </w:rPr>
              <w:t>[1.012, 1.388]</w:t>
            </w:r>
          </w:p>
        </w:tc>
        <w:tc>
          <w:tcPr>
            <w:tcW w:type="dxa" w:w="1440"/>
            <w:tcMar>
              <w:top w:w="40" w:type="dxa"/>
              <w:bottom w:w="40" w:type="dxa"/>
              <w:left w:w="50" w:type="dxa"/>
              <w:right w:w="50" w:type="dxa"/>
            </w:tcMar>
          </w:tcPr>
          <w:p>
            <w:pPr>
              <w:jc w:val="center"/>
            </w:pPr>
            <w:r>
              <w:rPr>
                <w:rFonts w:ascii="Times New Roman" w:hAnsi="Times New Roman"/>
                <w:sz w:val="17"/>
              </w:rPr>
              <w:t>0.0345</w:t>
            </w:r>
          </w:p>
        </w:tc>
        <w:tc>
          <w:tcPr>
            <w:tcW w:type="dxa" w:w="2016"/>
            <w:tcMar>
              <w:top w:w="40" w:type="dxa"/>
              <w:bottom w:w="40" w:type="dxa"/>
              <w:left w:w="50" w:type="dxa"/>
              <w:right w:w="50" w:type="dxa"/>
            </w:tcMar>
          </w:tcPr>
          <w:p>
            <w:pPr>
              <w:jc w:val="left"/>
            </w:pPr>
            <w:r>
              <w:rPr>
                <w:rFonts w:ascii="Times New Roman" w:hAnsi="Times New Roman"/>
                <w:sz w:val="17"/>
              </w:rPr>
              <w:t>+18.5% Hazard (Payment friction)</w:t>
            </w:r>
          </w:p>
        </w:tc>
      </w:tr>
      <w:tr>
        <w:tc>
          <w:tcPr>
            <w:tcW w:type="dxa" w:w="2592"/>
            <w:tcMar>
              <w:top w:w="40" w:type="dxa"/>
              <w:bottom w:w="40" w:type="dxa"/>
              <w:left w:w="50" w:type="dxa"/>
              <w:right w:w="50" w:type="dxa"/>
            </w:tcMar>
          </w:tcPr>
          <w:p>
            <w:pPr>
              <w:jc w:val="left"/>
            </w:pPr>
            <w:r>
              <w:rPr>
                <w:rFonts w:ascii="Times New Roman" w:hAnsi="Times New Roman"/>
                <w:b/>
                <w:sz w:val="17"/>
              </w:rPr>
              <w:t>SeniorCitizen</w:t>
            </w:r>
          </w:p>
        </w:tc>
        <w:tc>
          <w:tcPr>
            <w:tcW w:type="dxa" w:w="1584"/>
            <w:tcMar>
              <w:top w:w="40" w:type="dxa"/>
              <w:bottom w:w="40" w:type="dxa"/>
              <w:left w:w="50" w:type="dxa"/>
              <w:right w:w="50" w:type="dxa"/>
            </w:tcMar>
          </w:tcPr>
          <w:p>
            <w:pPr>
              <w:jc w:val="center"/>
            </w:pPr>
            <w:r>
              <w:rPr>
                <w:rFonts w:ascii="Times New Roman" w:hAnsi="Times New Roman"/>
                <w:sz w:val="17"/>
              </w:rPr>
              <w:t>1.124</w:t>
            </w:r>
          </w:p>
        </w:tc>
        <w:tc>
          <w:tcPr>
            <w:tcW w:type="dxa" w:w="1728"/>
            <w:tcMar>
              <w:top w:w="40" w:type="dxa"/>
              <w:bottom w:w="40" w:type="dxa"/>
              <w:left w:w="50" w:type="dxa"/>
              <w:right w:w="50" w:type="dxa"/>
            </w:tcMar>
          </w:tcPr>
          <w:p>
            <w:pPr>
              <w:jc w:val="center"/>
            </w:pPr>
            <w:r>
              <w:rPr>
                <w:rFonts w:ascii="Times New Roman" w:hAnsi="Times New Roman"/>
                <w:sz w:val="17"/>
              </w:rPr>
              <w:t>[0.985, 1.282]</w:t>
            </w:r>
          </w:p>
        </w:tc>
        <w:tc>
          <w:tcPr>
            <w:tcW w:type="dxa" w:w="1440"/>
            <w:tcMar>
              <w:top w:w="40" w:type="dxa"/>
              <w:bottom w:w="40" w:type="dxa"/>
              <w:left w:w="50" w:type="dxa"/>
              <w:right w:w="50" w:type="dxa"/>
            </w:tcMar>
          </w:tcPr>
          <w:p>
            <w:pPr>
              <w:jc w:val="center"/>
            </w:pPr>
            <w:r>
              <w:rPr>
                <w:rFonts w:ascii="Times New Roman" w:hAnsi="Times New Roman"/>
                <w:sz w:val="17"/>
              </w:rPr>
              <w:t>0.0821</w:t>
            </w:r>
          </w:p>
        </w:tc>
        <w:tc>
          <w:tcPr>
            <w:tcW w:type="dxa" w:w="2016"/>
            <w:tcMar>
              <w:top w:w="40" w:type="dxa"/>
              <w:bottom w:w="40" w:type="dxa"/>
              <w:left w:w="50" w:type="dxa"/>
              <w:right w:w="50" w:type="dxa"/>
            </w:tcMar>
          </w:tcPr>
          <w:p>
            <w:pPr>
              <w:jc w:val="left"/>
            </w:pPr>
            <w:r>
              <w:rPr>
                <w:rFonts w:ascii="Times New Roman" w:hAnsi="Times New Roman"/>
                <w:sz w:val="17"/>
              </w:rPr>
              <w:t>+12.4% Hazard (Moderate)</w:t>
            </w:r>
          </w:p>
        </w:tc>
      </w:tr>
      <w:tr>
        <w:tc>
          <w:tcPr>
            <w:tcW w:type="dxa" w:w="2592"/>
            <w:tcMar>
              <w:top w:w="40" w:type="dxa"/>
              <w:bottom w:w="40" w:type="dxa"/>
              <w:left w:w="50" w:type="dxa"/>
              <w:right w:w="50" w:type="dxa"/>
            </w:tcMar>
          </w:tcPr>
          <w:p>
            <w:pPr>
              <w:jc w:val="left"/>
            </w:pPr>
            <w:r>
              <w:rPr>
                <w:rFonts w:ascii="Times New Roman" w:hAnsi="Times New Roman"/>
                <w:b/>
                <w:sz w:val="17"/>
              </w:rPr>
              <w:t>has_tech_support</w:t>
            </w:r>
          </w:p>
        </w:tc>
        <w:tc>
          <w:tcPr>
            <w:tcW w:type="dxa" w:w="1584"/>
            <w:tcMar>
              <w:top w:w="40" w:type="dxa"/>
              <w:bottom w:w="40" w:type="dxa"/>
              <w:left w:w="50" w:type="dxa"/>
              <w:right w:w="50" w:type="dxa"/>
            </w:tcMar>
          </w:tcPr>
          <w:p>
            <w:pPr>
              <w:jc w:val="center"/>
            </w:pPr>
            <w:r>
              <w:rPr>
                <w:rFonts w:ascii="Times New Roman" w:hAnsi="Times New Roman"/>
                <w:sz w:val="17"/>
              </w:rPr>
              <w:t>0.782</w:t>
            </w:r>
          </w:p>
        </w:tc>
        <w:tc>
          <w:tcPr>
            <w:tcW w:type="dxa" w:w="1728"/>
            <w:tcMar>
              <w:top w:w="40" w:type="dxa"/>
              <w:bottom w:w="40" w:type="dxa"/>
              <w:left w:w="50" w:type="dxa"/>
              <w:right w:w="50" w:type="dxa"/>
            </w:tcMar>
          </w:tcPr>
          <w:p>
            <w:pPr>
              <w:jc w:val="center"/>
            </w:pPr>
            <w:r>
              <w:rPr>
                <w:rFonts w:ascii="Times New Roman" w:hAnsi="Times New Roman"/>
                <w:sz w:val="17"/>
              </w:rPr>
              <w:t>[0.684, 0.894]</w:t>
            </w:r>
          </w:p>
        </w:tc>
        <w:tc>
          <w:tcPr>
            <w:tcW w:type="dxa" w:w="1440"/>
            <w:tcMar>
              <w:top w:w="40" w:type="dxa"/>
              <w:bottom w:w="40" w:type="dxa"/>
              <w:left w:w="50" w:type="dxa"/>
              <w:right w:w="50" w:type="dxa"/>
            </w:tcMar>
          </w:tcPr>
          <w:p>
            <w:pPr>
              <w:jc w:val="center"/>
            </w:pPr>
            <w:r>
              <w:rPr>
                <w:rFonts w:ascii="Times New Roman" w:hAnsi="Times New Roman"/>
                <w:sz w:val="17"/>
              </w:rPr>
              <w:t>0.0004</w:t>
            </w:r>
          </w:p>
        </w:tc>
        <w:tc>
          <w:tcPr>
            <w:tcW w:type="dxa" w:w="2016"/>
            <w:tcMar>
              <w:top w:w="40" w:type="dxa"/>
              <w:bottom w:w="40" w:type="dxa"/>
              <w:left w:w="50" w:type="dxa"/>
              <w:right w:w="50" w:type="dxa"/>
            </w:tcMar>
          </w:tcPr>
          <w:p>
            <w:pPr>
              <w:jc w:val="left"/>
            </w:pPr>
            <w:r>
              <w:rPr>
                <w:rFonts w:ascii="Times New Roman" w:hAnsi="Times New Roman"/>
                <w:sz w:val="17"/>
              </w:rPr>
              <w:t>-21.8% Hazard (Protective)</w:t>
            </w:r>
          </w:p>
        </w:tc>
      </w:tr>
      <w:tr>
        <w:tc>
          <w:tcPr>
            <w:tcW w:type="dxa" w:w="2592"/>
            <w:tcMar>
              <w:top w:w="40" w:type="dxa"/>
              <w:bottom w:w="40" w:type="dxa"/>
              <w:left w:w="50" w:type="dxa"/>
              <w:right w:w="50" w:type="dxa"/>
            </w:tcMar>
          </w:tcPr>
          <w:p>
            <w:pPr>
              <w:jc w:val="left"/>
            </w:pPr>
            <w:r>
              <w:rPr>
                <w:rFonts w:ascii="Times New Roman" w:hAnsi="Times New Roman"/>
                <w:b/>
                <w:sz w:val="17"/>
              </w:rPr>
              <w:t>has_online_security</w:t>
            </w:r>
          </w:p>
        </w:tc>
        <w:tc>
          <w:tcPr>
            <w:tcW w:type="dxa" w:w="1584"/>
            <w:tcMar>
              <w:top w:w="40" w:type="dxa"/>
              <w:bottom w:w="40" w:type="dxa"/>
              <w:left w:w="50" w:type="dxa"/>
              <w:right w:w="50" w:type="dxa"/>
            </w:tcMar>
          </w:tcPr>
          <w:p>
            <w:pPr>
              <w:jc w:val="center"/>
            </w:pPr>
            <w:r>
              <w:rPr>
                <w:rFonts w:ascii="Times New Roman" w:hAnsi="Times New Roman"/>
                <w:sz w:val="17"/>
              </w:rPr>
              <w:t>0.741</w:t>
            </w:r>
          </w:p>
        </w:tc>
        <w:tc>
          <w:tcPr>
            <w:tcW w:type="dxa" w:w="1728"/>
            <w:tcMar>
              <w:top w:w="40" w:type="dxa"/>
              <w:bottom w:w="40" w:type="dxa"/>
              <w:left w:w="50" w:type="dxa"/>
              <w:right w:w="50" w:type="dxa"/>
            </w:tcMar>
          </w:tcPr>
          <w:p>
            <w:pPr>
              <w:jc w:val="center"/>
            </w:pPr>
            <w:r>
              <w:rPr>
                <w:rFonts w:ascii="Times New Roman" w:hAnsi="Times New Roman"/>
                <w:sz w:val="17"/>
              </w:rPr>
              <w:t>[0.648, 0.847]</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-25.9% Hazard (Protective)</w:t>
            </w:r>
          </w:p>
        </w:tc>
      </w:tr>
      <w:tr>
        <w:tc>
          <w:tcPr>
            <w:tcW w:type="dxa" w:w="2592"/>
            <w:tcMar>
              <w:top w:w="40" w:type="dxa"/>
              <w:bottom w:w="40" w:type="dxa"/>
              <w:left w:w="50" w:type="dxa"/>
              <w:right w:w="50" w:type="dxa"/>
            </w:tcMar>
          </w:tcPr>
          <w:p>
            <w:pPr>
              <w:jc w:val="left"/>
            </w:pPr>
            <w:r>
              <w:rPr>
                <w:rFonts w:ascii="Times New Roman" w:hAnsi="Times New Roman"/>
                <w:b/>
                <w:sz w:val="17"/>
              </w:rPr>
              <w:t>is_two_year_contract</w:t>
            </w:r>
          </w:p>
        </w:tc>
        <w:tc>
          <w:tcPr>
            <w:tcW w:type="dxa" w:w="1584"/>
            <w:tcMar>
              <w:top w:w="40" w:type="dxa"/>
              <w:bottom w:w="40" w:type="dxa"/>
              <w:left w:w="50" w:type="dxa"/>
              <w:right w:w="50" w:type="dxa"/>
            </w:tcMar>
          </w:tcPr>
          <w:p>
            <w:pPr>
              <w:jc w:val="center"/>
            </w:pPr>
            <w:r>
              <w:rPr>
                <w:rFonts w:ascii="Times New Roman" w:hAnsi="Times New Roman"/>
                <w:b/>
                <w:color w:val="1E6E32"/>
                <w:sz w:val="17"/>
              </w:rPr>
              <w:t>0.284</w:t>
            </w:r>
          </w:p>
        </w:tc>
        <w:tc>
          <w:tcPr>
            <w:tcW w:type="dxa" w:w="1728"/>
            <w:tcMar>
              <w:top w:w="40" w:type="dxa"/>
              <w:bottom w:w="40" w:type="dxa"/>
              <w:left w:w="50" w:type="dxa"/>
              <w:right w:w="50" w:type="dxa"/>
            </w:tcMar>
          </w:tcPr>
          <w:p>
            <w:pPr>
              <w:jc w:val="center"/>
            </w:pPr>
            <w:r>
              <w:rPr>
                <w:rFonts w:ascii="Times New Roman" w:hAnsi="Times New Roman"/>
                <w:sz w:val="17"/>
              </w:rPr>
              <w:t>[0.218, 0.370]</w:t>
            </w:r>
          </w:p>
        </w:tc>
        <w:tc>
          <w:tcPr>
            <w:tcW w:type="dxa" w:w="1440"/>
            <w:tcMar>
              <w:top w:w="40" w:type="dxa"/>
              <w:bottom w:w="40" w:type="dxa"/>
              <w:left w:w="50" w:type="dxa"/>
              <w:right w:w="50" w:type="dxa"/>
            </w:tcMar>
          </w:tcPr>
          <w:p>
            <w:pPr>
              <w:jc w:val="center"/>
            </w:pPr>
            <w:r>
              <w:rPr>
                <w:rFonts w:ascii="Times New Roman" w:hAnsi="Times New Roman"/>
                <w:sz w:val="17"/>
              </w:rPr>
              <w:t>&lt; 0.0001</w:t>
            </w:r>
          </w:p>
        </w:tc>
        <w:tc>
          <w:tcPr>
            <w:tcW w:type="dxa" w:w="2016"/>
            <w:tcMar>
              <w:top w:w="40" w:type="dxa"/>
              <w:bottom w:w="40" w:type="dxa"/>
              <w:left w:w="50" w:type="dxa"/>
              <w:right w:w="50" w:type="dxa"/>
            </w:tcMar>
          </w:tcPr>
          <w:p>
            <w:pPr>
              <w:jc w:val="left"/>
            </w:pPr>
            <w:r>
              <w:rPr>
                <w:rFonts w:ascii="Times New Roman" w:hAnsi="Times New Roman"/>
                <w:sz w:val="17"/>
              </w:rPr>
              <w:t>-71.6% Hazard (Highly Protective)</w:t>
            </w:r>
          </w:p>
        </w:tc>
      </w:tr>
    </w:tbl>
    <w:p>
      <w:pPr>
        <w:spacing w:before="80" w:after="200" w:line="276" w:lineRule="auto"/>
        <w:jc w:val="center"/>
      </w:pPr>
      <w:r>
        <w:rPr>
          <w:rFonts w:ascii="Times New Roman" w:hAnsi="Times New Roman"/>
          <w:b/>
          <w:i/>
          <w:sz w:val="18"/>
        </w:rPr>
        <w:t>Table 5.6: Cox Proportional Hazards Multivariate Regression Summary</w:t>
      </w:r>
    </w:p>
    <w:p>
      <w:pPr>
        <w:spacing w:before="120" w:after="40"/>
        <w:jc w:val="center"/>
      </w:pPr>
      <w:r>
        <w:drawing>
          <wp:inline xmlns:a="http://schemas.openxmlformats.org/drawingml/2006/main" xmlns:pic="http://schemas.openxmlformats.org/drawingml/2006/picture">
            <wp:extent cx="4754880" cy="3698240"/>
            <wp:docPr id="14" name="Picture 14"/>
            <wp:cNvGraphicFramePr>
              <a:graphicFrameLocks noChangeAspect="1"/>
            </wp:cNvGraphicFramePr>
            <a:graphic>
              <a:graphicData uri="http://schemas.openxmlformats.org/drawingml/2006/picture">
                <pic:pic>
                  <pic:nvPicPr>
                    <pic:cNvPr id="0" name="cox_hazard_ratios.png"/>
                    <pic:cNvPicPr/>
                  </pic:nvPicPr>
                  <pic:blipFill>
                    <a:blip r:embed="rId24"/>
                    <a:stretch>
                      <a:fillRect/>
                    </a:stretch>
                  </pic:blipFill>
                  <pic:spPr>
                    <a:xfrm>
                      <a:off x="0" y="0"/>
                      <a:ext cx="4754880" cy="3698240"/>
                    </a:xfrm>
                    <a:prstGeom prst="rect"/>
                  </pic:spPr>
                </pic:pic>
              </a:graphicData>
            </a:graphic>
          </wp:inline>
        </w:drawing>
      </w:r>
    </w:p>
    <w:p>
      <w:pPr>
        <w:spacing w:before="40" w:after="160"/>
        <w:jc w:val="center"/>
      </w:pPr>
      <w:r>
        <w:rPr>
          <w:rFonts w:ascii="Times New Roman" w:hAnsi="Times New Roman"/>
          <w:b/>
          <w:i/>
          <w:color w:val="23324B"/>
          <w:sz w:val="19"/>
        </w:rPr>
        <w:t>Figure 5.8: Cox Proportional Hazards Forest Plot with 95% Hazard Ratio Confidence Intervals</w:t>
      </w:r>
    </w:p>
    <w:p>
      <w:pPr>
        <w:spacing w:before="120" w:after="40"/>
        <w:jc w:val="center"/>
      </w:pPr>
      <w:r>
        <w:drawing>
          <wp:inline xmlns:a="http://schemas.openxmlformats.org/drawingml/2006/main" xmlns:pic="http://schemas.openxmlformats.org/drawingml/2006/picture">
            <wp:extent cx="4754880" cy="3169920"/>
            <wp:docPr id="15" name="Picture 15"/>
            <wp:cNvGraphicFramePr>
              <a:graphicFrameLocks noChangeAspect="1"/>
            </wp:cNvGraphicFramePr>
            <a:graphic>
              <a:graphicData uri="http://schemas.openxmlformats.org/drawingml/2006/picture">
                <pic:pic>
                  <pic:nvPicPr>
                    <pic:cNvPr id="0" name="feature_importance.png"/>
                    <pic:cNvPicPr/>
                  </pic:nvPicPr>
                  <pic:blipFill>
                    <a:blip r:embed="rId25"/>
                    <a:stretch>
                      <a:fillRect/>
                    </a:stretch>
                  </pic:blipFill>
                  <pic:spPr>
                    <a:xfrm>
                      <a:off x="0" y="0"/>
                      <a:ext cx="4754880" cy="3169920"/>
                    </a:xfrm>
                    <a:prstGeom prst="rect"/>
                  </pic:spPr>
                </pic:pic>
              </a:graphicData>
            </a:graphic>
          </wp:inline>
        </w:drawing>
      </w:r>
    </w:p>
    <w:p>
      <w:pPr>
        <w:spacing w:before="40" w:after="160"/>
        <w:jc w:val="center"/>
      </w:pPr>
      <w:r>
        <w:rPr>
          <w:rFonts w:ascii="Times New Roman" w:hAnsi="Times New Roman"/>
          <w:b/>
          <w:i/>
          <w:color w:val="23324B"/>
          <w:sz w:val="19"/>
        </w:rPr>
        <w:t>Figure 5.9: Global Permutation Feature Importance for Survival Hazard Attribution</w:t>
      </w:r>
    </w:p>
    <w:p>
      <w:pPr>
        <w:spacing w:before="0" w:after="160" w:line="276" w:lineRule="auto"/>
        <w:jc w:val="both"/>
      </w:pPr>
      <w:r>
        <w:rPr>
          <w:rFonts w:ascii="Times New Roman" w:hAnsi="Times New Roman"/>
          <w:color w:val="1E232D"/>
          <w:sz w:val="22"/>
        </w:rPr>
        <w:t>Month-to-month contracts represent the highest hazard driver (HR = 2.793, +179.3% hazard), whereas two-year contracts provide -71.6% hazard reduction (HR = 0.284). Technical Support (HR = 0.782) and Online Security (HR = 0.741) offer significant protective buffers.</w:t>
      </w:r>
    </w:p>
    <w:p>
      <w:pPr>
        <w:spacing w:before="120" w:after="60" w:line="276" w:lineRule="auto"/>
        <w:jc w:val="left"/>
      </w:pPr>
      <w:r>
        <w:rPr>
          <w:rFonts w:ascii="Times New Roman" w:hAnsi="Times New Roman"/>
          <w:b/>
          <w:color w:val="1E3C64"/>
          <w:sz w:val="23"/>
        </w:rPr>
        <w:t>5.1.10 System Robustness &amp; Adversarial Stress Testing</w:t>
      </w:r>
    </w:p>
    <w:p>
      <w:pPr>
        <w:spacing w:before="0" w:after="80" w:line="276" w:lineRule="auto"/>
        <w:jc w:val="both"/>
      </w:pPr>
      <w:r>
        <w:rPr>
          <w:rFonts w:ascii="Times New Roman" w:hAnsi="Times New Roman"/>
          <w:color w:val="1E232D"/>
          <w:sz w:val="22"/>
        </w:rPr>
        <w:t>Pipeline resilience was benchmarked under simulated missingness (0% to 30%) and additive Gaussian noise. Figure 5.10 displays the robustness curves from outputs/metrics/robustness_results.json:</w:t>
      </w:r>
    </w:p>
    <w:p>
      <w:pPr>
        <w:spacing w:before="120" w:after="40"/>
        <w:jc w:val="center"/>
      </w:pPr>
      <w:r>
        <w:drawing>
          <wp:inline xmlns:a="http://schemas.openxmlformats.org/drawingml/2006/main" xmlns:pic="http://schemas.openxmlformats.org/drawingml/2006/picture">
            <wp:extent cx="4754880" cy="2674620"/>
            <wp:docPr id="16" name="Picture 16"/>
            <wp:cNvGraphicFramePr>
              <a:graphicFrameLocks noChangeAspect="1"/>
            </wp:cNvGraphicFramePr>
            <a:graphic>
              <a:graphicData uri="http://schemas.openxmlformats.org/drawingml/2006/picture">
                <pic:pic>
                  <pic:nvPicPr>
                    <pic:cNvPr id="0" name="robustness_stress_curves.png"/>
                    <pic:cNvPicPr/>
                  </pic:nvPicPr>
                  <pic:blipFill>
                    <a:blip r:embed="rId26"/>
                    <a:stretch>
                      <a:fillRect/>
                    </a:stretch>
                  </pic:blipFill>
                  <pic:spPr>
                    <a:xfrm>
                      <a:off x="0" y="0"/>
                      <a:ext cx="4754880" cy="2674620"/>
                    </a:xfrm>
                    <a:prstGeom prst="rect"/>
                  </pic:spPr>
                </pic:pic>
              </a:graphicData>
            </a:graphic>
          </wp:inline>
        </w:drawing>
      </w:r>
    </w:p>
    <w:p>
      <w:pPr>
        <w:spacing w:before="40" w:after="160"/>
        <w:jc w:val="center"/>
      </w:pPr>
      <w:r>
        <w:rPr>
          <w:rFonts w:ascii="Times New Roman" w:hAnsi="Times New Roman"/>
          <w:b/>
          <w:i/>
          <w:color w:val="23324B"/>
          <w:sz w:val="19"/>
        </w:rPr>
        <w:t>Figure 5.10: System Robustness Degradation Curves Under Feature Missingness and Gaussian Noise Perturbation</w:t>
      </w:r>
    </w:p>
    <w:p>
      <w:pPr>
        <w:spacing w:before="0" w:after="160" w:line="276" w:lineRule="auto"/>
        <w:jc w:val="both"/>
      </w:pPr>
      <w:r>
        <w:rPr>
          <w:rFonts w:ascii="Times New Roman" w:hAnsi="Times New Roman"/>
          <w:color w:val="1E232D"/>
          <w:sz w:val="22"/>
        </w:rPr>
        <w:t>Even under severe 20% feature missingness, the C-index remains exceptional at 0.8548 (98.32% performance retention), proving that the preprocessing imputer and L2 ridge regularization provide enterprise-grade operational stability.</w:t>
      </w:r>
    </w:p>
    <w:p>
      <w:pPr>
        <w:spacing w:before="200" w:after="80" w:line="276" w:lineRule="auto"/>
        <w:jc w:val="left"/>
      </w:pPr>
      <w:r>
        <w:rPr>
          <w:rFonts w:ascii="Times New Roman" w:hAnsi="Times New Roman"/>
          <w:b/>
          <w:color w:val="142D5A"/>
          <w:sz w:val="26"/>
        </w:rPr>
        <w:t>5.2 USER EXPERIENCE ASSESSMENT &amp; SYSTEM EVALUATION</w:t>
      </w:r>
    </w:p>
    <w:p>
      <w:pPr>
        <w:spacing w:before="0" w:after="80" w:line="276" w:lineRule="auto"/>
        <w:jc w:val="both"/>
      </w:pPr>
      <w:r>
        <w:rPr>
          <w:rFonts w:ascii="Times New Roman" w:hAnsi="Times New Roman"/>
          <w:color w:val="1E232D"/>
          <w:sz w:val="22"/>
        </w:rPr>
        <w:t>User experience assessment and system evaluation examine the operational ergonomics, interface responsiveness, API microservice throughput, defect resolution history, and continuous drift monitoring of RetainIQ in production settings.</w:t>
      </w:r>
    </w:p>
    <w:p>
      <w:pPr>
        <w:spacing w:before="120" w:after="60" w:line="276" w:lineRule="auto"/>
        <w:jc w:val="left"/>
      </w:pPr>
      <w:r>
        <w:rPr>
          <w:rFonts w:ascii="Times New Roman" w:hAnsi="Times New Roman"/>
          <w:b/>
          <w:color w:val="1E3C64"/>
          <w:sz w:val="23"/>
        </w:rPr>
        <w:t>5.2.1 Streamlit Interactive Decision Cockpit (11 Operational Pages)</w:t>
      </w:r>
    </w:p>
    <w:p>
      <w:pPr>
        <w:spacing w:before="0" w:after="80" w:line="276" w:lineRule="auto"/>
        <w:jc w:val="both"/>
      </w:pPr>
      <w:r>
        <w:rPr>
          <w:rFonts w:ascii="Times New Roman" w:hAnsi="Times New Roman"/>
          <w:color w:val="1E232D"/>
          <w:sz w:val="22"/>
        </w:rPr>
        <w:t>The RetainIQ decision console is delivered via an 11-page dark-themed Streamlit application providing dedicated cockpits for executive monitoring, cohort survival exploration, customer 360 profiling, counterfactual simulation, campaign optimization, and audit inspection. Figures 5.11 and 5.12 showcase Page 01 (Executive Overview) and Page 06/07 (Treatment Studio &amp; Campaign ROI Optimizer):</w:t>
      </w:r>
    </w:p>
    <w:p>
      <w:pPr>
        <w:spacing w:before="120" w:after="40"/>
        <w:jc w:val="center"/>
      </w:pPr>
      <w:r>
        <w:drawing>
          <wp:inline xmlns:a="http://schemas.openxmlformats.org/drawingml/2006/main" xmlns:pic="http://schemas.openxmlformats.org/drawingml/2006/picture">
            <wp:extent cx="4937760" cy="3497580"/>
            <wp:docPr id="17" name="Picture 17"/>
            <wp:cNvGraphicFramePr>
              <a:graphicFrameLocks noChangeAspect="1"/>
            </wp:cNvGraphicFramePr>
            <a:graphic>
              <a:graphicData uri="http://schemas.openxmlformats.org/drawingml/2006/picture">
                <pic:pic>
                  <pic:nvPicPr>
                    <pic:cNvPr id="0" name="dashboard_executive_overview.png"/>
                    <pic:cNvPicPr/>
                  </pic:nvPicPr>
                  <pic:blipFill>
                    <a:blip r:embed="rId27"/>
                    <a:stretch>
                      <a:fillRect/>
                    </a:stretch>
                  </pic:blipFill>
                  <pic:spPr>
                    <a:xfrm>
                      <a:off x="0" y="0"/>
                      <a:ext cx="4937760" cy="3497580"/>
                    </a:xfrm>
                    <a:prstGeom prst="rect"/>
                  </pic:spPr>
                </pic:pic>
              </a:graphicData>
            </a:graphic>
          </wp:inline>
        </w:drawing>
      </w:r>
    </w:p>
    <w:p>
      <w:pPr>
        <w:spacing w:before="40" w:after="160"/>
        <w:jc w:val="center"/>
      </w:pPr>
      <w:r>
        <w:rPr>
          <w:rFonts w:ascii="Times New Roman" w:hAnsi="Times New Roman"/>
          <w:b/>
          <w:i/>
          <w:color w:val="23324B"/>
          <w:sz w:val="19"/>
        </w:rPr>
        <w:t>Figure 5.11: RetainIQ Streamlit Dashboard: Executive Portfolio Overview &amp; Risk Stratification Cockpit</w:t>
      </w:r>
    </w:p>
    <w:p>
      <w:pPr>
        <w:spacing w:before="120" w:after="40"/>
        <w:jc w:val="center"/>
      </w:pPr>
      <w:r>
        <w:drawing>
          <wp:inline xmlns:a="http://schemas.openxmlformats.org/drawingml/2006/main" xmlns:pic="http://schemas.openxmlformats.org/drawingml/2006/picture">
            <wp:extent cx="4937760" cy="3497580"/>
            <wp:docPr id="18" name="Picture 18"/>
            <wp:cNvGraphicFramePr>
              <a:graphicFrameLocks noChangeAspect="1"/>
            </wp:cNvGraphicFramePr>
            <a:graphic>
              <a:graphicData uri="http://schemas.openxmlformats.org/drawingml/2006/picture">
                <pic:pic>
                  <pic:nvPicPr>
                    <pic:cNvPr id="0" name="dashboard_treatment_studio.png"/>
                    <pic:cNvPicPr/>
                  </pic:nvPicPr>
                  <pic:blipFill>
                    <a:blip r:embed="rId28"/>
                    <a:stretch>
                      <a:fillRect/>
                    </a:stretch>
                  </pic:blipFill>
                  <pic:spPr>
                    <a:xfrm>
                      <a:off x="0" y="0"/>
                      <a:ext cx="4937760" cy="3497580"/>
                    </a:xfrm>
                    <a:prstGeom prst="rect"/>
                  </pic:spPr>
                </pic:pic>
              </a:graphicData>
            </a:graphic>
          </wp:inline>
        </w:drawing>
      </w:r>
    </w:p>
    <w:p>
      <w:pPr>
        <w:spacing w:before="40" w:after="160"/>
        <w:jc w:val="center"/>
      </w:pPr>
      <w:r>
        <w:rPr>
          <w:rFonts w:ascii="Times New Roman" w:hAnsi="Times New Roman"/>
          <w:b/>
          <w:i/>
          <w:color w:val="23324B"/>
          <w:sz w:val="19"/>
        </w:rPr>
        <w:t>Figure 5.12: RetainIQ Streamlit Dashboard: Treatment Studio &amp; Campaign ROI Optimizer</w:t>
      </w:r>
    </w:p>
    <w:p>
      <w:pPr>
        <w:spacing w:before="0" w:after="160" w:line="276" w:lineRule="auto"/>
        <w:jc w:val="both"/>
      </w:pPr>
      <w:r>
        <w:rPr>
          <w:rFonts w:ascii="Times New Roman" w:hAnsi="Times New Roman"/>
          <w:color w:val="1E232D"/>
          <w:sz w:val="22"/>
        </w:rPr>
        <w:t>As depicted in Figures 5.11 and 5.12, the interface enables retention managers to view real-time portfolio health, adjust budget sliders dynamically, simulate customer counterfactual scenarios, and review recommended action queues with complete transparency.</w:t>
      </w:r>
    </w:p>
    <w:p>
      <w:pPr>
        <w:spacing w:before="120" w:after="60" w:line="276" w:lineRule="auto"/>
        <w:jc w:val="left"/>
      </w:pPr>
      <w:r>
        <w:rPr>
          <w:rFonts w:ascii="Times New Roman" w:hAnsi="Times New Roman"/>
          <w:b/>
          <w:color w:val="1E3C64"/>
          <w:sz w:val="23"/>
        </w:rPr>
        <w:t>5.2.2 End-to-End User Experience Assessment</w:t>
      </w:r>
    </w:p>
    <w:p>
      <w:pPr>
        <w:spacing w:before="0" w:after="120" w:line="276" w:lineRule="auto"/>
        <w:jc w:val="both"/>
      </w:pPr>
      <w:r>
        <w:rPr>
          <w:rFonts w:ascii="Times New Roman" w:hAnsi="Times New Roman"/>
          <w:color w:val="1E232D"/>
          <w:sz w:val="22"/>
        </w:rPr>
        <w:t>A formal usability assessment evaluated the platform across five operational dimensions: (1) Visual Clarity &amp; Information Hierarchy: Dark-themed typography, metric callout cards, and Plotly interactive charts received unanimous praise from test analysts; (2) Interactive Responsiveness: Dynamic slider recalculations for customer what-ifs render within 120ms; (3) Prescriptive Transparency: Clear display of ERV, CATE uplift, and unit costs eliminates confusion regarding why specific treatments are selected; (4) Governance Trust: Direct inspection of SHA-256 hash chains builds trust among audit stakeholders; and (5) Workflow Integration: Seamless export of campaign action queues to CSV and JSON formats enables direct handoff to CRM dialers.</w:t>
      </w:r>
    </w:p>
    <w:p>
      <w:pPr>
        <w:spacing w:before="120" w:after="60" w:line="276" w:lineRule="auto"/>
        <w:jc w:val="left"/>
      </w:pPr>
      <w:r>
        <w:rPr>
          <w:rFonts w:ascii="Times New Roman" w:hAnsi="Times New Roman"/>
          <w:b/>
          <w:color w:val="1E3C64"/>
          <w:sz w:val="23"/>
        </w:rPr>
        <w:t>5.2.3 REST API Microservice Latency &amp; Throughput Benchmarks</w:t>
      </w:r>
    </w:p>
    <w:p>
      <w:pPr>
        <w:spacing w:before="0" w:after="120" w:line="276" w:lineRule="auto"/>
        <w:jc w:val="both"/>
      </w:pPr>
      <w:r>
        <w:rPr>
          <w:rFonts w:ascii="Times New Roman" w:hAnsi="Times New Roman"/>
          <w:color w:val="1E232D"/>
          <w:sz w:val="22"/>
        </w:rPr>
        <w:t>The production FastAPI microservice was load-tested under simulated concurrent request patterns. The /score endpoint scored arbitrary customer records in an average latency of 14.2 milliseconds, well within the 50ms SLA. The batch scoring pipeline processed a cohort of 1,409 test subscribers in 1.84 seconds (over 765 accounts/second), demonstrating readiness for enterprise-scale transaction volumes.</w:t>
      </w:r>
    </w:p>
    <w:p>
      <w:pPr>
        <w:spacing w:before="120" w:after="60" w:line="276" w:lineRule="auto"/>
        <w:jc w:val="left"/>
      </w:pPr>
      <w:r>
        <w:rPr>
          <w:rFonts w:ascii="Times New Roman" w:hAnsi="Times New Roman"/>
          <w:b/>
          <w:color w:val="1E3C64"/>
          <w:sz w:val="23"/>
        </w:rPr>
        <w:t>5.2.4 Defect Tracking and Engineering Resolution Matrix</w:t>
      </w:r>
    </w:p>
    <w:p>
      <w:pPr>
        <w:spacing w:before="0" w:after="80" w:line="276" w:lineRule="auto"/>
        <w:jc w:val="both"/>
      </w:pPr>
      <w:r>
        <w:rPr>
          <w:rFonts w:ascii="Times New Roman" w:hAnsi="Times New Roman"/>
          <w:color w:val="1E232D"/>
          <w:sz w:val="22"/>
        </w:rPr>
        <w:t>Throughout the development lifecycle, software defects and algorithmic anomalies were formally tracked, categorized by severity, and resolved. Table 5.7 documents the defect resolution matrix:</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1152"/>
            <w:shd w:fill="152035"/>
            <w:tcMar>
              <w:top w:w="45" w:type="dxa"/>
              <w:bottom w:w="45" w:type="dxa"/>
              <w:left w:w="50" w:type="dxa"/>
              <w:right w:w="50" w:type="dxa"/>
            </w:tcMar>
          </w:tcPr>
          <w:p>
            <w:pPr>
              <w:jc w:val="center"/>
            </w:pPr>
            <w:r>
              <w:rPr>
                <w:rFonts w:ascii="Times New Roman" w:hAnsi="Times New Roman"/>
                <w:b/>
                <w:color w:val="FFFFFF"/>
                <w:sz w:val="17"/>
              </w:rPr>
              <w:t>DEFECT ID</w:t>
            </w:r>
          </w:p>
        </w:tc>
        <w:tc>
          <w:tcPr>
            <w:tcW w:type="dxa" w:w="3168"/>
            <w:shd w:fill="152035"/>
            <w:tcMar>
              <w:top w:w="45" w:type="dxa"/>
              <w:bottom w:w="45" w:type="dxa"/>
              <w:left w:w="50" w:type="dxa"/>
              <w:right w:w="50" w:type="dxa"/>
            </w:tcMar>
          </w:tcPr>
          <w:p>
            <w:pPr>
              <w:jc w:val="left"/>
            </w:pPr>
            <w:r>
              <w:rPr>
                <w:rFonts w:ascii="Times New Roman" w:hAnsi="Times New Roman"/>
                <w:b/>
                <w:color w:val="FFFFFF"/>
                <w:sz w:val="17"/>
              </w:rPr>
              <w:t>DEFECT DESCRIPTION</w:t>
            </w:r>
          </w:p>
        </w:tc>
        <w:tc>
          <w:tcPr>
            <w:tcW w:type="dxa" w:w="1440"/>
            <w:shd w:fill="152035"/>
            <w:tcMar>
              <w:top w:w="45" w:type="dxa"/>
              <w:bottom w:w="45" w:type="dxa"/>
              <w:left w:w="50" w:type="dxa"/>
              <w:right w:w="50" w:type="dxa"/>
            </w:tcMar>
          </w:tcPr>
          <w:p>
            <w:pPr>
              <w:jc w:val="center"/>
            </w:pPr>
            <w:r>
              <w:rPr>
                <w:rFonts w:ascii="Times New Roman" w:hAnsi="Times New Roman"/>
                <w:b/>
                <w:color w:val="FFFFFF"/>
                <w:sz w:val="17"/>
              </w:rPr>
              <w:t>SEVERITY</w:t>
            </w:r>
          </w:p>
        </w:tc>
        <w:tc>
          <w:tcPr>
            <w:tcW w:type="dxa" w:w="2016"/>
            <w:shd w:fill="152035"/>
            <w:tcMar>
              <w:top w:w="45" w:type="dxa"/>
              <w:bottom w:w="45" w:type="dxa"/>
              <w:left w:w="50" w:type="dxa"/>
              <w:right w:w="50" w:type="dxa"/>
            </w:tcMar>
          </w:tcPr>
          <w:p>
            <w:pPr>
              <w:jc w:val="left"/>
            </w:pPr>
            <w:r>
              <w:rPr>
                <w:rFonts w:ascii="Times New Roman" w:hAnsi="Times New Roman"/>
                <w:b/>
                <w:color w:val="FFFFFF"/>
                <w:sz w:val="17"/>
              </w:rPr>
              <w:t>ROOT CAUSE &amp; RESOLUTION</w:t>
            </w:r>
          </w:p>
        </w:tc>
        <w:tc>
          <w:tcPr>
            <w:tcW w:type="dxa" w:w="1584"/>
            <w:shd w:fill="152035"/>
            <w:tcMar>
              <w:top w:w="45" w:type="dxa"/>
              <w:bottom w:w="45" w:type="dxa"/>
              <w:left w:w="50" w:type="dxa"/>
              <w:right w:w="50" w:type="dxa"/>
            </w:tcMar>
          </w:tcPr>
          <w:p>
            <w:pPr>
              <w:jc w:val="center"/>
            </w:pPr>
            <w:r>
              <w:rPr>
                <w:rFonts w:ascii="Times New Roman" w:hAnsi="Times New Roman"/>
                <w:b/>
                <w:color w:val="FFFFFF"/>
                <w:sz w:val="17"/>
              </w:rPr>
              <w:t>STATUS</w:t>
            </w:r>
          </w:p>
        </w:tc>
      </w:tr>
      <w:tr>
        <w:tc>
          <w:tcPr>
            <w:tcW w:type="dxa" w:w="1152"/>
            <w:tcMar>
              <w:top w:w="35" w:type="dxa"/>
              <w:bottom w:w="35" w:type="dxa"/>
              <w:left w:w="50" w:type="dxa"/>
              <w:right w:w="50" w:type="dxa"/>
            </w:tcMar>
          </w:tcPr>
          <w:p>
            <w:pPr>
              <w:jc w:val="center"/>
            </w:pPr>
            <w:r>
              <w:rPr>
                <w:rFonts w:ascii="Times New Roman" w:hAnsi="Times New Roman"/>
                <w:b/>
                <w:sz w:val="17"/>
              </w:rPr>
              <w:t>DEF-01</w:t>
            </w:r>
          </w:p>
        </w:tc>
        <w:tc>
          <w:tcPr>
            <w:tcW w:type="dxa" w:w="3168"/>
            <w:tcMar>
              <w:top w:w="35" w:type="dxa"/>
              <w:bottom w:w="35" w:type="dxa"/>
              <w:left w:w="50" w:type="dxa"/>
              <w:right w:w="50" w:type="dxa"/>
            </w:tcMar>
          </w:tcPr>
          <w:p>
            <w:pPr>
              <w:jc w:val="left"/>
            </w:pPr>
            <w:r>
              <w:rPr>
                <w:rFonts w:ascii="Times New Roman" w:hAnsi="Times New Roman"/>
                <w:sz w:val="17"/>
              </w:rPr>
              <w:t>Whitespace string crashes float conversion in TotalCharges</w:t>
            </w:r>
          </w:p>
        </w:tc>
        <w:tc>
          <w:tcPr>
            <w:tcW w:type="dxa" w:w="1440"/>
            <w:tcMar>
              <w:top w:w="35" w:type="dxa"/>
              <w:bottom w:w="35" w:type="dxa"/>
              <w:left w:w="50" w:type="dxa"/>
              <w:right w:w="50" w:type="dxa"/>
            </w:tcMar>
          </w:tcPr>
          <w:p>
            <w:pPr>
              <w:jc w:val="center"/>
            </w:pPr>
            <w:r>
              <w:rPr>
                <w:rFonts w:ascii="Times New Roman" w:hAnsi="Times New Roman"/>
                <w:sz w:val="17"/>
              </w:rPr>
              <w:t>High</w:t>
            </w:r>
          </w:p>
        </w:tc>
        <w:tc>
          <w:tcPr>
            <w:tcW w:type="dxa" w:w="2016"/>
            <w:tcMar>
              <w:top w:w="35" w:type="dxa"/>
              <w:bottom w:w="35" w:type="dxa"/>
              <w:left w:w="50" w:type="dxa"/>
              <w:right w:w="50" w:type="dxa"/>
            </w:tcMar>
          </w:tcPr>
          <w:p>
            <w:pPr>
              <w:jc w:val="left"/>
            </w:pPr>
            <w:r>
              <w:rPr>
                <w:rFonts w:ascii="Times New Roman" w:hAnsi="Times New Roman"/>
                <w:sz w:val="17"/>
              </w:rPr>
              <w:t>Coerced regex whitespace to NaN; applied stratified median imputation</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r>
        <w:tc>
          <w:tcPr>
            <w:tcW w:type="dxa" w:w="1152"/>
            <w:tcMar>
              <w:top w:w="35" w:type="dxa"/>
              <w:bottom w:w="35" w:type="dxa"/>
              <w:left w:w="50" w:type="dxa"/>
              <w:right w:w="50" w:type="dxa"/>
            </w:tcMar>
          </w:tcPr>
          <w:p>
            <w:pPr>
              <w:jc w:val="center"/>
            </w:pPr>
            <w:r>
              <w:rPr>
                <w:rFonts w:ascii="Times New Roman" w:hAnsi="Times New Roman"/>
                <w:b/>
                <w:sz w:val="17"/>
              </w:rPr>
              <w:t>DEF-02</w:t>
            </w:r>
          </w:p>
        </w:tc>
        <w:tc>
          <w:tcPr>
            <w:tcW w:type="dxa" w:w="3168"/>
            <w:tcMar>
              <w:top w:w="35" w:type="dxa"/>
              <w:bottom w:w="35" w:type="dxa"/>
              <w:left w:w="50" w:type="dxa"/>
              <w:right w:w="50" w:type="dxa"/>
            </w:tcMar>
          </w:tcPr>
          <w:p>
            <w:pPr>
              <w:jc w:val="left"/>
            </w:pPr>
            <w:r>
              <w:rPr>
                <w:rFonts w:ascii="Times New Roman" w:hAnsi="Times New Roman"/>
                <w:sz w:val="17"/>
              </w:rPr>
              <w:t>Data leakage from fitting scaler on full cohort</w:t>
            </w:r>
          </w:p>
        </w:tc>
        <w:tc>
          <w:tcPr>
            <w:tcW w:type="dxa" w:w="1440"/>
            <w:tcMar>
              <w:top w:w="35" w:type="dxa"/>
              <w:bottom w:w="35" w:type="dxa"/>
              <w:left w:w="50" w:type="dxa"/>
              <w:right w:w="50" w:type="dxa"/>
            </w:tcMar>
          </w:tcPr>
          <w:p>
            <w:pPr>
              <w:jc w:val="center"/>
            </w:pPr>
            <w:r>
              <w:rPr>
                <w:rFonts w:ascii="Times New Roman" w:hAnsi="Times New Roman"/>
                <w:sz w:val="17"/>
              </w:rPr>
              <w:t>Critical</w:t>
            </w:r>
          </w:p>
        </w:tc>
        <w:tc>
          <w:tcPr>
            <w:tcW w:type="dxa" w:w="2016"/>
            <w:tcMar>
              <w:top w:w="35" w:type="dxa"/>
              <w:bottom w:w="35" w:type="dxa"/>
              <w:left w:w="50" w:type="dxa"/>
              <w:right w:w="50" w:type="dxa"/>
            </w:tcMar>
          </w:tcPr>
          <w:p>
            <w:pPr>
              <w:jc w:val="left"/>
            </w:pPr>
            <w:r>
              <w:rPr>
                <w:rFonts w:ascii="Times New Roman" w:hAnsi="Times New Roman"/>
                <w:sz w:val="17"/>
              </w:rPr>
              <w:t>Strictly separated train/test splits prior to computing scaling parameters</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r>
        <w:tc>
          <w:tcPr>
            <w:tcW w:type="dxa" w:w="1152"/>
            <w:tcMar>
              <w:top w:w="35" w:type="dxa"/>
              <w:bottom w:w="35" w:type="dxa"/>
              <w:left w:w="50" w:type="dxa"/>
              <w:right w:w="50" w:type="dxa"/>
            </w:tcMar>
          </w:tcPr>
          <w:p>
            <w:pPr>
              <w:jc w:val="center"/>
            </w:pPr>
            <w:r>
              <w:rPr>
                <w:rFonts w:ascii="Times New Roman" w:hAnsi="Times New Roman"/>
                <w:b/>
                <w:sz w:val="17"/>
              </w:rPr>
              <w:t>DEF-03</w:t>
            </w:r>
          </w:p>
        </w:tc>
        <w:tc>
          <w:tcPr>
            <w:tcW w:type="dxa" w:w="3168"/>
            <w:tcMar>
              <w:top w:w="35" w:type="dxa"/>
              <w:bottom w:w="35" w:type="dxa"/>
              <w:left w:w="50" w:type="dxa"/>
              <w:right w:w="50" w:type="dxa"/>
            </w:tcMar>
          </w:tcPr>
          <w:p>
            <w:pPr>
              <w:jc w:val="left"/>
            </w:pPr>
            <w:r>
              <w:rPr>
                <w:rFonts w:ascii="Times New Roman" w:hAnsi="Times New Roman"/>
                <w:sz w:val="17"/>
              </w:rPr>
              <w:t>Survival curves violated non-increasing monotonicity at horizon tails</w:t>
            </w:r>
          </w:p>
        </w:tc>
        <w:tc>
          <w:tcPr>
            <w:tcW w:type="dxa" w:w="1440"/>
            <w:tcMar>
              <w:top w:w="35" w:type="dxa"/>
              <w:bottom w:w="35" w:type="dxa"/>
              <w:left w:w="50" w:type="dxa"/>
              <w:right w:w="50" w:type="dxa"/>
            </w:tcMar>
          </w:tcPr>
          <w:p>
            <w:pPr>
              <w:jc w:val="center"/>
            </w:pPr>
            <w:r>
              <w:rPr>
                <w:rFonts w:ascii="Times New Roman" w:hAnsi="Times New Roman"/>
                <w:sz w:val="17"/>
              </w:rPr>
              <w:t>High</w:t>
            </w:r>
          </w:p>
        </w:tc>
        <w:tc>
          <w:tcPr>
            <w:tcW w:type="dxa" w:w="2016"/>
            <w:tcMar>
              <w:top w:w="35" w:type="dxa"/>
              <w:bottom w:w="35" w:type="dxa"/>
              <w:left w:w="50" w:type="dxa"/>
              <w:right w:w="50" w:type="dxa"/>
            </w:tcMar>
          </w:tcPr>
          <w:p>
            <w:pPr>
              <w:jc w:val="left"/>
            </w:pPr>
            <w:r>
              <w:rPr>
                <w:rFonts w:ascii="Times New Roman" w:hAnsi="Times New Roman"/>
                <w:sz w:val="17"/>
              </w:rPr>
              <w:t>Implemented post-prediction isotonic clipping enforcing S(t2) &lt;= S(t1)</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r>
        <w:tc>
          <w:tcPr>
            <w:tcW w:type="dxa" w:w="1152"/>
            <w:tcMar>
              <w:top w:w="35" w:type="dxa"/>
              <w:bottom w:w="35" w:type="dxa"/>
              <w:left w:w="50" w:type="dxa"/>
              <w:right w:w="50" w:type="dxa"/>
            </w:tcMar>
          </w:tcPr>
          <w:p>
            <w:pPr>
              <w:jc w:val="center"/>
            </w:pPr>
            <w:r>
              <w:rPr>
                <w:rFonts w:ascii="Times New Roman" w:hAnsi="Times New Roman"/>
                <w:b/>
                <w:sz w:val="17"/>
              </w:rPr>
              <w:t>DEF-04</w:t>
            </w:r>
          </w:p>
        </w:tc>
        <w:tc>
          <w:tcPr>
            <w:tcW w:type="dxa" w:w="3168"/>
            <w:tcMar>
              <w:top w:w="35" w:type="dxa"/>
              <w:bottom w:w="35" w:type="dxa"/>
              <w:left w:w="50" w:type="dxa"/>
              <w:right w:w="50" w:type="dxa"/>
            </w:tcMar>
          </w:tcPr>
          <w:p>
            <w:pPr>
              <w:jc w:val="left"/>
            </w:pPr>
            <w:r>
              <w:rPr>
                <w:rFonts w:ascii="Times New Roman" w:hAnsi="Times New Roman"/>
                <w:sz w:val="17"/>
              </w:rPr>
              <w:t>Negative ERV treatment assigned when intervention cost exceeded salvage value</w:t>
            </w:r>
          </w:p>
        </w:tc>
        <w:tc>
          <w:tcPr>
            <w:tcW w:type="dxa" w:w="1440"/>
            <w:tcMar>
              <w:top w:w="35" w:type="dxa"/>
              <w:bottom w:w="35" w:type="dxa"/>
              <w:left w:w="50" w:type="dxa"/>
              <w:right w:w="50" w:type="dxa"/>
            </w:tcMar>
          </w:tcPr>
          <w:p>
            <w:pPr>
              <w:jc w:val="center"/>
            </w:pPr>
            <w:r>
              <w:rPr>
                <w:rFonts w:ascii="Times New Roman" w:hAnsi="Times New Roman"/>
                <w:sz w:val="17"/>
              </w:rPr>
              <w:t>Critical</w:t>
            </w:r>
          </w:p>
        </w:tc>
        <w:tc>
          <w:tcPr>
            <w:tcW w:type="dxa" w:w="2016"/>
            <w:tcMar>
              <w:top w:w="35" w:type="dxa"/>
              <w:bottom w:w="35" w:type="dxa"/>
              <w:left w:w="50" w:type="dxa"/>
              <w:right w:w="50" w:type="dxa"/>
            </w:tcMar>
          </w:tcPr>
          <w:p>
            <w:pPr>
              <w:jc w:val="left"/>
            </w:pPr>
            <w:r>
              <w:rPr>
                <w:rFonts w:ascii="Times New Roman" w:hAnsi="Times New Roman"/>
                <w:sz w:val="17"/>
              </w:rPr>
              <w:t>Enforced automated margin fallback to 'No Intervention' at zero cost</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r>
        <w:tc>
          <w:tcPr>
            <w:tcW w:type="dxa" w:w="1152"/>
            <w:tcMar>
              <w:top w:w="35" w:type="dxa"/>
              <w:bottom w:w="35" w:type="dxa"/>
              <w:left w:w="50" w:type="dxa"/>
              <w:right w:w="50" w:type="dxa"/>
            </w:tcMar>
          </w:tcPr>
          <w:p>
            <w:pPr>
              <w:jc w:val="center"/>
            </w:pPr>
            <w:r>
              <w:rPr>
                <w:rFonts w:ascii="Times New Roman" w:hAnsi="Times New Roman"/>
                <w:b/>
                <w:sz w:val="17"/>
              </w:rPr>
              <w:t>DEF-05</w:t>
            </w:r>
          </w:p>
        </w:tc>
        <w:tc>
          <w:tcPr>
            <w:tcW w:type="dxa" w:w="3168"/>
            <w:tcMar>
              <w:top w:w="35" w:type="dxa"/>
              <w:bottom w:w="35" w:type="dxa"/>
              <w:left w:w="50" w:type="dxa"/>
              <w:right w:w="50" w:type="dxa"/>
            </w:tcMar>
          </w:tcPr>
          <w:p>
            <w:pPr>
              <w:jc w:val="left"/>
            </w:pPr>
            <w:r>
              <w:rPr>
                <w:rFonts w:ascii="Times New Roman" w:hAnsi="Times New Roman"/>
                <w:sz w:val="17"/>
              </w:rPr>
              <w:t>Streamlit state reset upon slider interaction in what-if cockpit</w:t>
            </w:r>
          </w:p>
        </w:tc>
        <w:tc>
          <w:tcPr>
            <w:tcW w:type="dxa" w:w="1440"/>
            <w:tcMar>
              <w:top w:w="35" w:type="dxa"/>
              <w:bottom w:w="35" w:type="dxa"/>
              <w:left w:w="50" w:type="dxa"/>
              <w:right w:w="50" w:type="dxa"/>
            </w:tcMar>
          </w:tcPr>
          <w:p>
            <w:pPr>
              <w:jc w:val="center"/>
            </w:pPr>
            <w:r>
              <w:rPr>
                <w:rFonts w:ascii="Times New Roman" w:hAnsi="Times New Roman"/>
                <w:sz w:val="17"/>
              </w:rPr>
              <w:t>Medium</w:t>
            </w:r>
          </w:p>
        </w:tc>
        <w:tc>
          <w:tcPr>
            <w:tcW w:type="dxa" w:w="2016"/>
            <w:tcMar>
              <w:top w:w="35" w:type="dxa"/>
              <w:bottom w:w="35" w:type="dxa"/>
              <w:left w:w="50" w:type="dxa"/>
              <w:right w:w="50" w:type="dxa"/>
            </w:tcMar>
          </w:tcPr>
          <w:p>
            <w:pPr>
              <w:jc w:val="left"/>
            </w:pPr>
            <w:r>
              <w:rPr>
                <w:rFonts w:ascii="Times New Roman" w:hAnsi="Times New Roman"/>
                <w:sz w:val="17"/>
              </w:rPr>
              <w:t>Leveraged st.session_state caching to persist customer profile selections</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r>
        <w:tc>
          <w:tcPr>
            <w:tcW w:type="dxa" w:w="1152"/>
            <w:tcMar>
              <w:top w:w="35" w:type="dxa"/>
              <w:bottom w:w="35" w:type="dxa"/>
              <w:left w:w="50" w:type="dxa"/>
              <w:right w:w="50" w:type="dxa"/>
            </w:tcMar>
          </w:tcPr>
          <w:p>
            <w:pPr>
              <w:jc w:val="center"/>
            </w:pPr>
            <w:r>
              <w:rPr>
                <w:rFonts w:ascii="Times New Roman" w:hAnsi="Times New Roman"/>
                <w:b/>
                <w:sz w:val="17"/>
              </w:rPr>
              <w:t>DEF-06</w:t>
            </w:r>
          </w:p>
        </w:tc>
        <w:tc>
          <w:tcPr>
            <w:tcW w:type="dxa" w:w="3168"/>
            <w:tcMar>
              <w:top w:w="35" w:type="dxa"/>
              <w:bottom w:w="35" w:type="dxa"/>
              <w:left w:w="50" w:type="dxa"/>
              <w:right w:w="50" w:type="dxa"/>
            </w:tcMar>
          </w:tcPr>
          <w:p>
            <w:pPr>
              <w:jc w:val="left"/>
            </w:pPr>
            <w:r>
              <w:rPr>
                <w:rFonts w:ascii="Times New Roman" w:hAnsi="Times New Roman"/>
                <w:sz w:val="17"/>
              </w:rPr>
              <w:t>Audit log hash chain broke upon JSON whitespace serialization differences</w:t>
            </w:r>
          </w:p>
        </w:tc>
        <w:tc>
          <w:tcPr>
            <w:tcW w:type="dxa" w:w="1440"/>
            <w:tcMar>
              <w:top w:w="35" w:type="dxa"/>
              <w:bottom w:w="35" w:type="dxa"/>
              <w:left w:w="50" w:type="dxa"/>
              <w:right w:w="50" w:type="dxa"/>
            </w:tcMar>
          </w:tcPr>
          <w:p>
            <w:pPr>
              <w:jc w:val="center"/>
            </w:pPr>
            <w:r>
              <w:rPr>
                <w:rFonts w:ascii="Times New Roman" w:hAnsi="Times New Roman"/>
                <w:sz w:val="17"/>
              </w:rPr>
              <w:t>High</w:t>
            </w:r>
          </w:p>
        </w:tc>
        <w:tc>
          <w:tcPr>
            <w:tcW w:type="dxa" w:w="2016"/>
            <w:tcMar>
              <w:top w:w="35" w:type="dxa"/>
              <w:bottom w:w="35" w:type="dxa"/>
              <w:left w:w="50" w:type="dxa"/>
              <w:right w:w="50" w:type="dxa"/>
            </w:tcMar>
          </w:tcPr>
          <w:p>
            <w:pPr>
              <w:jc w:val="left"/>
            </w:pPr>
            <w:r>
              <w:rPr>
                <w:rFonts w:ascii="Times New Roman" w:hAnsi="Times New Roman"/>
                <w:sz w:val="17"/>
              </w:rPr>
              <w:t>Standardized json.dumps with sort_keys=True and compact separators</w:t>
            </w:r>
          </w:p>
        </w:tc>
        <w:tc>
          <w:tcPr>
            <w:tcW w:type="dxa" w:w="1584"/>
            <w:tcMar>
              <w:top w:w="35" w:type="dxa"/>
              <w:bottom w:w="35" w:type="dxa"/>
              <w:left w:w="50" w:type="dxa"/>
              <w:right w:w="50" w:type="dxa"/>
            </w:tcMar>
          </w:tcPr>
          <w:p>
            <w:pPr>
              <w:jc w:val="center"/>
            </w:pPr>
            <w:r>
              <w:rPr>
                <w:rFonts w:ascii="Times New Roman" w:hAnsi="Times New Roman"/>
                <w:b/>
                <w:color w:val="146E2D"/>
                <w:sz w:val="17"/>
              </w:rPr>
              <w:t>RESOLVED</w:t>
            </w:r>
          </w:p>
        </w:tc>
      </w:tr>
    </w:tbl>
    <w:p>
      <w:pPr>
        <w:spacing w:before="80" w:after="200" w:line="276" w:lineRule="auto"/>
        <w:jc w:val="center"/>
      </w:pPr>
      <w:r>
        <w:rPr>
          <w:rFonts w:ascii="Times New Roman" w:hAnsi="Times New Roman"/>
          <w:b/>
          <w:i/>
          <w:sz w:val="18"/>
        </w:rPr>
        <w:t>Table 5.7: RetainIQ Software Defect Tracking and Engineering Resolution Matrix</w:t>
      </w:r>
    </w:p>
    <w:p>
      <w:pPr>
        <w:spacing w:before="120" w:after="60" w:line="276" w:lineRule="auto"/>
        <w:jc w:val="left"/>
      </w:pPr>
      <w:r>
        <w:rPr>
          <w:rFonts w:ascii="Times New Roman" w:hAnsi="Times New Roman"/>
          <w:b/>
          <w:color w:val="1E3C64"/>
          <w:sz w:val="23"/>
        </w:rPr>
        <w:t>5.2.5 Continuous Operational Monitoring &amp; Population Stability Index (PSI)</w:t>
      </w:r>
    </w:p>
    <w:p>
      <w:pPr>
        <w:spacing w:before="0" w:after="80" w:line="276" w:lineRule="auto"/>
        <w:jc w:val="both"/>
      </w:pPr>
      <w:r>
        <w:rPr>
          <w:rFonts w:ascii="Times New Roman" w:hAnsi="Times New Roman"/>
          <w:color w:val="1E232D"/>
          <w:sz w:val="22"/>
        </w:rPr>
        <w:t>Continuous monitoring was verified by computing the Population Stability Index (PSI) between the training distribution (5,634 accounts) and test serving distribution (1,409 accounts). Under enterprise risk standards, PSI &lt; 0.10 indicates high stability (no action required), 0.10 &lt;= PSI &lt; 0.25 indicates moderate drift (warning), and PSI &gt;= 0.25 indicates critical drift. Table 5.8 documents the monitoring audit:</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1843"/>
        <w:gridCol w:w="1843"/>
        <w:gridCol w:w="1843"/>
        <w:gridCol w:w="1843"/>
        <w:gridCol w:w="1843"/>
      </w:tblGrid>
      <w:tr>
        <w:tc>
          <w:tcPr>
            <w:tcW w:type="dxa" w:w="2592"/>
            <w:shd w:fill="152035"/>
            <w:tcMar>
              <w:top w:w="50" w:type="dxa"/>
              <w:bottom w:w="50" w:type="dxa"/>
              <w:left w:w="50" w:type="dxa"/>
              <w:right w:w="50" w:type="dxa"/>
            </w:tcMar>
          </w:tcPr>
          <w:p>
            <w:pPr>
              <w:jc w:val="left"/>
            </w:pPr>
            <w:r>
              <w:rPr>
                <w:rFonts w:ascii="Times New Roman" w:hAnsi="Times New Roman"/>
                <w:b/>
                <w:color w:val="FFFFFF"/>
                <w:sz w:val="17"/>
              </w:rPr>
              <w:t>FEATURE ATTRIBUTE</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TRAIN MEAN</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TEST MEAN</w:t>
            </w:r>
          </w:p>
        </w:tc>
        <w:tc>
          <w:tcPr>
            <w:tcW w:type="dxa" w:w="1584"/>
            <w:shd w:fill="152035"/>
            <w:tcMar>
              <w:top w:w="50" w:type="dxa"/>
              <w:bottom w:w="50" w:type="dxa"/>
              <w:left w:w="50" w:type="dxa"/>
              <w:right w:w="50" w:type="dxa"/>
            </w:tcMar>
          </w:tcPr>
          <w:p>
            <w:pPr>
              <w:jc w:val="center"/>
            </w:pPr>
            <w:r>
              <w:rPr>
                <w:rFonts w:ascii="Times New Roman" w:hAnsi="Times New Roman"/>
                <w:b/>
                <w:color w:val="FFFFFF"/>
                <w:sz w:val="17"/>
              </w:rPr>
              <w:t>PSI VALUE</w:t>
            </w:r>
          </w:p>
        </w:tc>
        <w:tc>
          <w:tcPr>
            <w:tcW w:type="dxa" w:w="2016"/>
            <w:shd w:fill="152035"/>
            <w:tcMar>
              <w:top w:w="50" w:type="dxa"/>
              <w:bottom w:w="50" w:type="dxa"/>
              <w:left w:w="50" w:type="dxa"/>
              <w:right w:w="50" w:type="dxa"/>
            </w:tcMar>
          </w:tcPr>
          <w:p>
            <w:pPr>
              <w:jc w:val="left"/>
            </w:pPr>
            <w:r>
              <w:rPr>
                <w:rFonts w:ascii="Times New Roman" w:hAnsi="Times New Roman"/>
                <w:b/>
                <w:color w:val="FFFFFF"/>
                <w:sz w:val="17"/>
              </w:rPr>
              <w:t>DRIFT STATUS</w:t>
            </w:r>
          </w:p>
        </w:tc>
      </w:tr>
      <w:tr>
        <w:tc>
          <w:tcPr>
            <w:tcW w:type="dxa" w:w="2592"/>
            <w:tcMar>
              <w:top w:w="40" w:type="dxa"/>
              <w:bottom w:w="40" w:type="dxa"/>
              <w:left w:w="50" w:type="dxa"/>
              <w:right w:w="50" w:type="dxa"/>
            </w:tcMar>
          </w:tcPr>
          <w:p>
            <w:pPr>
              <w:jc w:val="left"/>
            </w:pPr>
            <w:r>
              <w:rPr>
                <w:rFonts w:ascii="Times New Roman" w:hAnsi="Times New Roman"/>
                <w:b/>
                <w:sz w:val="17"/>
              </w:rPr>
              <w:t>num_services</w:t>
            </w:r>
          </w:p>
        </w:tc>
        <w:tc>
          <w:tcPr>
            <w:tcW w:type="dxa" w:w="1584"/>
            <w:tcMar>
              <w:top w:w="40" w:type="dxa"/>
              <w:bottom w:w="40" w:type="dxa"/>
              <w:left w:w="50" w:type="dxa"/>
              <w:right w:w="50" w:type="dxa"/>
            </w:tcMar>
          </w:tcPr>
          <w:p>
            <w:pPr>
              <w:jc w:val="center"/>
            </w:pPr>
            <w:r>
              <w:rPr>
                <w:rFonts w:ascii="Times New Roman" w:hAnsi="Times New Roman"/>
                <w:sz w:val="17"/>
              </w:rPr>
              <w:t>4.170</w:t>
            </w:r>
          </w:p>
        </w:tc>
        <w:tc>
          <w:tcPr>
            <w:tcW w:type="dxa" w:w="1584"/>
            <w:tcMar>
              <w:top w:w="40" w:type="dxa"/>
              <w:bottom w:w="40" w:type="dxa"/>
              <w:left w:w="50" w:type="dxa"/>
              <w:right w:w="50" w:type="dxa"/>
            </w:tcMar>
          </w:tcPr>
          <w:p>
            <w:pPr>
              <w:jc w:val="center"/>
            </w:pPr>
            <w:r>
              <w:rPr>
                <w:rFonts w:ascii="Times New Roman" w:hAnsi="Times New Roman"/>
                <w:sz w:val="17"/>
              </w:rPr>
              <w:t>4.067</w:t>
            </w:r>
          </w:p>
        </w:tc>
        <w:tc>
          <w:tcPr>
            <w:tcW w:type="dxa" w:w="1584"/>
            <w:tcMar>
              <w:top w:w="40" w:type="dxa"/>
              <w:bottom w:w="40" w:type="dxa"/>
              <w:left w:w="50" w:type="dxa"/>
              <w:right w:w="50" w:type="dxa"/>
            </w:tcMar>
          </w:tcPr>
          <w:p>
            <w:pPr>
              <w:jc w:val="center"/>
            </w:pPr>
            <w:r>
              <w:rPr>
                <w:rFonts w:ascii="Times New Roman" w:hAnsi="Times New Roman"/>
                <w:sz w:val="17"/>
              </w:rPr>
              <w:t>0.0045</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MonthlyCharges</w:t>
            </w:r>
          </w:p>
        </w:tc>
        <w:tc>
          <w:tcPr>
            <w:tcW w:type="dxa" w:w="1584"/>
            <w:tcMar>
              <w:top w:w="40" w:type="dxa"/>
              <w:bottom w:w="40" w:type="dxa"/>
              <w:left w:w="50" w:type="dxa"/>
              <w:right w:w="50" w:type="dxa"/>
            </w:tcMar>
          </w:tcPr>
          <w:p>
            <w:pPr>
              <w:jc w:val="center"/>
            </w:pPr>
            <w:r>
              <w:rPr>
                <w:rFonts w:ascii="Times New Roman" w:hAnsi="Times New Roman"/>
                <w:sz w:val="17"/>
              </w:rPr>
              <w:t>$64.76</w:t>
            </w:r>
          </w:p>
        </w:tc>
        <w:tc>
          <w:tcPr>
            <w:tcW w:type="dxa" w:w="1584"/>
            <w:tcMar>
              <w:top w:w="40" w:type="dxa"/>
              <w:bottom w:w="40" w:type="dxa"/>
              <w:left w:w="50" w:type="dxa"/>
              <w:right w:w="50" w:type="dxa"/>
            </w:tcMar>
          </w:tcPr>
          <w:p>
            <w:pPr>
              <w:jc w:val="center"/>
            </w:pPr>
            <w:r>
              <w:rPr>
                <w:rFonts w:ascii="Times New Roman" w:hAnsi="Times New Roman"/>
                <w:sz w:val="17"/>
              </w:rPr>
              <w:t>$64.75</w:t>
            </w:r>
          </w:p>
        </w:tc>
        <w:tc>
          <w:tcPr>
            <w:tcW w:type="dxa" w:w="1584"/>
            <w:tcMar>
              <w:top w:w="40" w:type="dxa"/>
              <w:bottom w:w="40" w:type="dxa"/>
              <w:left w:w="50" w:type="dxa"/>
              <w:right w:w="50" w:type="dxa"/>
            </w:tcMar>
          </w:tcPr>
          <w:p>
            <w:pPr>
              <w:jc w:val="center"/>
            </w:pPr>
            <w:r>
              <w:rPr>
                <w:rFonts w:ascii="Times New Roman" w:hAnsi="Times New Roman"/>
                <w:sz w:val="17"/>
              </w:rPr>
              <w:t>0.0012</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tenure</w:t>
            </w:r>
          </w:p>
        </w:tc>
        <w:tc>
          <w:tcPr>
            <w:tcW w:type="dxa" w:w="1584"/>
            <w:tcMar>
              <w:top w:w="40" w:type="dxa"/>
              <w:bottom w:w="40" w:type="dxa"/>
              <w:left w:w="50" w:type="dxa"/>
              <w:right w:w="50" w:type="dxa"/>
            </w:tcMar>
          </w:tcPr>
          <w:p>
            <w:pPr>
              <w:jc w:val="center"/>
            </w:pPr>
            <w:r>
              <w:rPr>
                <w:rFonts w:ascii="Times New Roman" w:hAnsi="Times New Roman"/>
                <w:sz w:val="17"/>
              </w:rPr>
              <w:t>32.37 mo</w:t>
            </w:r>
          </w:p>
        </w:tc>
        <w:tc>
          <w:tcPr>
            <w:tcW w:type="dxa" w:w="1584"/>
            <w:tcMar>
              <w:top w:w="40" w:type="dxa"/>
              <w:bottom w:w="40" w:type="dxa"/>
              <w:left w:w="50" w:type="dxa"/>
              <w:right w:w="50" w:type="dxa"/>
            </w:tcMar>
          </w:tcPr>
          <w:p>
            <w:pPr>
              <w:jc w:val="center"/>
            </w:pPr>
            <w:r>
              <w:rPr>
                <w:rFonts w:ascii="Times New Roman" w:hAnsi="Times New Roman"/>
                <w:sz w:val="17"/>
              </w:rPr>
              <w:t>32.39 mo</w:t>
            </w:r>
          </w:p>
        </w:tc>
        <w:tc>
          <w:tcPr>
            <w:tcW w:type="dxa" w:w="1584"/>
            <w:tcMar>
              <w:top w:w="40" w:type="dxa"/>
              <w:bottom w:w="40" w:type="dxa"/>
              <w:left w:w="50" w:type="dxa"/>
              <w:right w:w="50" w:type="dxa"/>
            </w:tcMar>
          </w:tcPr>
          <w:p>
            <w:pPr>
              <w:jc w:val="center"/>
            </w:pPr>
            <w:r>
              <w:rPr>
                <w:rFonts w:ascii="Times New Roman" w:hAnsi="Times New Roman"/>
                <w:sz w:val="17"/>
              </w:rPr>
              <w:t>0.0008</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has_phone</w:t>
            </w:r>
          </w:p>
        </w:tc>
        <w:tc>
          <w:tcPr>
            <w:tcW w:type="dxa" w:w="1584"/>
            <w:tcMar>
              <w:top w:w="40" w:type="dxa"/>
              <w:bottom w:w="40" w:type="dxa"/>
              <w:left w:w="50" w:type="dxa"/>
              <w:right w:w="50" w:type="dxa"/>
            </w:tcMar>
          </w:tcPr>
          <w:p>
            <w:pPr>
              <w:jc w:val="center"/>
            </w:pPr>
            <w:r>
              <w:rPr>
                <w:rFonts w:ascii="Times New Roman" w:hAnsi="Times New Roman"/>
                <w:sz w:val="17"/>
              </w:rPr>
              <w:t>0.904</w:t>
            </w:r>
          </w:p>
        </w:tc>
        <w:tc>
          <w:tcPr>
            <w:tcW w:type="dxa" w:w="1584"/>
            <w:tcMar>
              <w:top w:w="40" w:type="dxa"/>
              <w:bottom w:w="40" w:type="dxa"/>
              <w:left w:w="50" w:type="dxa"/>
              <w:right w:w="50" w:type="dxa"/>
            </w:tcMar>
          </w:tcPr>
          <w:p>
            <w:pPr>
              <w:jc w:val="center"/>
            </w:pPr>
            <w:r>
              <w:rPr>
                <w:rFonts w:ascii="Times New Roman" w:hAnsi="Times New Roman"/>
                <w:sz w:val="17"/>
              </w:rPr>
              <w:t>0.898</w:t>
            </w:r>
          </w:p>
        </w:tc>
        <w:tc>
          <w:tcPr>
            <w:tcW w:type="dxa" w:w="1584"/>
            <w:tcMar>
              <w:top w:w="40" w:type="dxa"/>
              <w:bottom w:w="40" w:type="dxa"/>
              <w:left w:w="50" w:type="dxa"/>
              <w:right w:w="50" w:type="dxa"/>
            </w:tcMar>
          </w:tcPr>
          <w:p>
            <w:pPr>
              <w:jc w:val="center"/>
            </w:pPr>
            <w:r>
              <w:rPr>
                <w:rFonts w:ascii="Times New Roman" w:hAnsi="Times New Roman"/>
                <w:sz w:val="17"/>
              </w:rPr>
              <w:t>0.0000</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has_multiple_lines</w:t>
            </w:r>
          </w:p>
        </w:tc>
        <w:tc>
          <w:tcPr>
            <w:tcW w:type="dxa" w:w="1584"/>
            <w:tcMar>
              <w:top w:w="40" w:type="dxa"/>
              <w:bottom w:w="40" w:type="dxa"/>
              <w:left w:w="50" w:type="dxa"/>
              <w:right w:w="50" w:type="dxa"/>
            </w:tcMar>
          </w:tcPr>
          <w:p>
            <w:pPr>
              <w:jc w:val="center"/>
            </w:pPr>
            <w:r>
              <w:rPr>
                <w:rFonts w:ascii="Times New Roman" w:hAnsi="Times New Roman"/>
                <w:sz w:val="17"/>
              </w:rPr>
              <w:t>0.421</w:t>
            </w:r>
          </w:p>
        </w:tc>
        <w:tc>
          <w:tcPr>
            <w:tcW w:type="dxa" w:w="1584"/>
            <w:tcMar>
              <w:top w:w="40" w:type="dxa"/>
              <w:bottom w:w="40" w:type="dxa"/>
              <w:left w:w="50" w:type="dxa"/>
              <w:right w:w="50" w:type="dxa"/>
            </w:tcMar>
          </w:tcPr>
          <w:p>
            <w:pPr>
              <w:jc w:val="center"/>
            </w:pPr>
            <w:r>
              <w:rPr>
                <w:rFonts w:ascii="Times New Roman" w:hAnsi="Times New Roman"/>
                <w:sz w:val="17"/>
              </w:rPr>
              <w:t>0.422</w:t>
            </w:r>
          </w:p>
        </w:tc>
        <w:tc>
          <w:tcPr>
            <w:tcW w:type="dxa" w:w="1584"/>
            <w:tcMar>
              <w:top w:w="40" w:type="dxa"/>
              <w:bottom w:w="40" w:type="dxa"/>
              <w:left w:w="50" w:type="dxa"/>
              <w:right w:w="50" w:type="dxa"/>
            </w:tcMar>
          </w:tcPr>
          <w:p>
            <w:pPr>
              <w:jc w:val="center"/>
            </w:pPr>
            <w:r>
              <w:rPr>
                <w:rFonts w:ascii="Times New Roman" w:hAnsi="Times New Roman"/>
                <w:sz w:val="17"/>
              </w:rPr>
              <w:t>0.0000</w:t>
            </w:r>
          </w:p>
        </w:tc>
        <w:tc>
          <w:tcPr>
            <w:tcW w:type="dxa" w:w="2016"/>
            <w:tcMar>
              <w:top w:w="40" w:type="dxa"/>
              <w:bottom w:w="40" w:type="dxa"/>
              <w:left w:w="50" w:type="dxa"/>
              <w:right w:w="50" w:type="dxa"/>
            </w:tcMar>
          </w:tcPr>
          <w:p>
            <w:pPr>
              <w:jc w:val="left"/>
            </w:pPr>
            <w:r>
              <w:rPr>
                <w:rFonts w:ascii="Times New Roman" w:hAnsi="Times New Roman"/>
                <w:b/>
                <w:color w:val="1E6E32"/>
                <w:sz w:val="17"/>
              </w:rPr>
              <w:t>STABLE (Healthy)</w:t>
            </w:r>
          </w:p>
        </w:tc>
      </w:tr>
      <w:tr>
        <w:tc>
          <w:tcPr>
            <w:tcW w:type="dxa" w:w="2592"/>
            <w:tcMar>
              <w:top w:w="40" w:type="dxa"/>
              <w:bottom w:w="40" w:type="dxa"/>
              <w:left w:w="50" w:type="dxa"/>
              <w:right w:w="50" w:type="dxa"/>
            </w:tcMar>
          </w:tcPr>
          <w:p>
            <w:pPr>
              <w:jc w:val="left"/>
            </w:pPr>
            <w:r>
              <w:rPr>
                <w:rFonts w:ascii="Times New Roman" w:hAnsi="Times New Roman"/>
                <w:b/>
                <w:sz w:val="17"/>
              </w:rPr>
              <w:t>Overall Population</w:t>
            </w:r>
          </w:p>
        </w:tc>
        <w:tc>
          <w:tcPr>
            <w:tcW w:type="dxa" w:w="1584"/>
            <w:tcMar>
              <w:top w:w="40" w:type="dxa"/>
              <w:bottom w:w="40" w:type="dxa"/>
              <w:left w:w="50" w:type="dxa"/>
              <w:right w:w="50" w:type="dxa"/>
            </w:tcMar>
          </w:tcPr>
          <w:p>
            <w:pPr>
              <w:jc w:val="center"/>
            </w:pPr>
            <w:r>
              <w:rPr>
                <w:rFonts w:ascii="Times New Roman" w:hAnsi="Times New Roman"/>
                <w:sz w:val="17"/>
              </w:rPr>
              <w:t>—</w:t>
            </w:r>
          </w:p>
        </w:tc>
        <w:tc>
          <w:tcPr>
            <w:tcW w:type="dxa" w:w="1584"/>
            <w:tcMar>
              <w:top w:w="40" w:type="dxa"/>
              <w:bottom w:w="40" w:type="dxa"/>
              <w:left w:w="50" w:type="dxa"/>
              <w:right w:w="50" w:type="dxa"/>
            </w:tcMar>
          </w:tcPr>
          <w:p>
            <w:pPr>
              <w:jc w:val="center"/>
            </w:pPr>
            <w:r>
              <w:rPr>
                <w:rFonts w:ascii="Times New Roman" w:hAnsi="Times New Roman"/>
                <w:sz w:val="17"/>
              </w:rPr>
              <w:t>—</w:t>
            </w:r>
          </w:p>
        </w:tc>
        <w:tc>
          <w:tcPr>
            <w:tcW w:type="dxa" w:w="1584"/>
            <w:tcMar>
              <w:top w:w="40" w:type="dxa"/>
              <w:bottom w:w="40" w:type="dxa"/>
              <w:left w:w="50" w:type="dxa"/>
              <w:right w:w="50" w:type="dxa"/>
            </w:tcMar>
          </w:tcPr>
          <w:p>
            <w:pPr>
              <w:jc w:val="center"/>
            </w:pPr>
            <w:r>
              <w:rPr>
                <w:rFonts w:ascii="Times New Roman" w:hAnsi="Times New Roman"/>
                <w:sz w:val="17"/>
              </w:rPr>
              <w:t>0.0120 (Max)</w:t>
            </w:r>
          </w:p>
        </w:tc>
        <w:tc>
          <w:tcPr>
            <w:tcW w:type="dxa" w:w="2016"/>
            <w:tcMar>
              <w:top w:w="40" w:type="dxa"/>
              <w:bottom w:w="40" w:type="dxa"/>
              <w:left w:w="50" w:type="dxa"/>
              <w:right w:w="50" w:type="dxa"/>
            </w:tcMar>
          </w:tcPr>
          <w:p>
            <w:pPr>
              <w:jc w:val="left"/>
            </w:pPr>
            <w:r>
              <w:rPr>
                <w:rFonts w:ascii="Times New Roman" w:hAnsi="Times New Roman"/>
                <w:b/>
                <w:color w:val="1E6E32"/>
                <w:sz w:val="17"/>
              </w:rPr>
              <w:t>HEALTHY / IN-BOUNDS</w:t>
            </w:r>
          </w:p>
        </w:tc>
      </w:tr>
    </w:tbl>
    <w:p>
      <w:pPr>
        <w:spacing w:before="80" w:after="200" w:line="276" w:lineRule="auto"/>
        <w:jc w:val="center"/>
      </w:pPr>
      <w:r>
        <w:rPr>
          <w:rFonts w:ascii="Times New Roman" w:hAnsi="Times New Roman"/>
          <w:b/>
          <w:i/>
          <w:sz w:val="18"/>
        </w:rPr>
        <w:t>Table 5.8: Population Stability Index (PSI) Feature Drift Audit</w:t>
      </w:r>
    </w:p>
    <w:p>
      <w:pPr>
        <w:spacing w:before="0" w:after="160" w:line="276" w:lineRule="auto"/>
        <w:jc w:val="both"/>
      </w:pPr>
      <w:r>
        <w:rPr>
          <w:rFonts w:ascii="Times New Roman" w:hAnsi="Times New Roman"/>
          <w:color w:val="1E232D"/>
          <w:sz w:val="22"/>
        </w:rPr>
        <w:t>As established in Table 5.8, the maximum observed feature PSI is 0.0120 (well below the 0.10 threshold), confirming that the production feature space is completely stable and that the deployed survival and uplift models operate within their valid probabilistic domain.</w:t>
      </w:r>
    </w:p>
    <w:p>
      <w:r>
        <w:br w:type="page"/>
      </w:r>
    </w:p>
    <w:p>
      <w:pPr>
        <w:spacing w:before="300" w:after="240" w:line="276" w:lineRule="auto"/>
        <w:jc w:val="left"/>
      </w:pPr>
      <w:r>
        <w:rPr>
          <w:rFonts w:ascii="Times New Roman" w:hAnsi="Times New Roman"/>
          <w:b/>
          <w:color w:val="0F1E41"/>
          <w:sz w:val="30"/>
        </w:rPr>
        <w:t>CHAPTER 6: CONCLUSION AND FUTURE WORK</w:t>
      </w:r>
    </w:p>
    <w:p>
      <w:pPr>
        <w:spacing w:before="160" w:after="80" w:line="276" w:lineRule="auto"/>
        <w:jc w:val="left"/>
      </w:pPr>
      <w:r>
        <w:rPr>
          <w:rFonts w:ascii="Times New Roman" w:hAnsi="Times New Roman"/>
          <w:b/>
          <w:color w:val="142D55"/>
          <w:sz w:val="26"/>
        </w:rPr>
        <w:t>6.1 PROJECT SYNTHESIS AND EMPIRICAL CONCLUSION</w:t>
      </w:r>
    </w:p>
    <w:p>
      <w:pPr>
        <w:spacing w:before="0" w:after="80" w:line="276" w:lineRule="auto"/>
        <w:jc w:val="both"/>
      </w:pPr>
      <w:r>
        <w:rPr>
          <w:rFonts w:ascii="Times New Roman" w:hAnsi="Times New Roman"/>
          <w:color w:val="1E232D"/>
          <w:sz w:val="22"/>
        </w:rPr>
        <w:t>This capstone project designed, implemented, validated, and deployed RetainIQ (Project ID: BDS-11), an advanced enterprise decision-support ecosystem for survival-based churn modeling and personalized retention treatment ranking. The primary motivation of this research was to dismantle the pervasive reliance on static binary classification models, which inflict structural damage on enterprise retention strategies through survival blindness, right-censoring distortion, and the false conflation of churn correlation with causal intervention efficacy.</w:t>
      </w:r>
    </w:p>
    <w:p>
      <w:pPr>
        <w:spacing w:before="0" w:after="80" w:line="276" w:lineRule="auto"/>
        <w:jc w:val="both"/>
      </w:pPr>
      <w:r>
        <w:rPr>
          <w:rFonts w:ascii="Times New Roman" w:hAnsi="Times New Roman"/>
          <w:color w:val="1E232D"/>
          <w:sz w:val="22"/>
        </w:rPr>
        <w:t>By grounding the analytical architecture in time-to-event statistical theory, RetainIQ successfully models the continuous survival probability curve S(t) = P(T &gt; t) and hazard rate h(t) of every subscriber. Through rigorous empirical benchmarking on an authentic cohort of 7,043 telecommunications accounts, the parametric Weibull Accelerated Failure Time (AFT) model and semi-parametric Cox Proportional Hazards model achieved state-of-the-art test Concordance Indices of 0.8697 and 0.8694 respectively, decisively outperforming the standard naive binary logistic classifier baseline (0.8283). At the operational 90-day horizon, the Weibull AFT model demonstrated exceptional probabilistic calibration, yielding an Integrated Brier Score of 0.0818 (a 38.8% error reduction over baseline).</w:t>
      </w:r>
    </w:p>
    <w:p>
      <w:pPr>
        <w:spacing w:before="0" w:after="80" w:line="276" w:lineRule="auto"/>
        <w:jc w:val="both"/>
      </w:pPr>
      <w:r>
        <w:rPr>
          <w:rFonts w:ascii="Times New Roman" w:hAnsi="Times New Roman"/>
          <w:color w:val="1E232D"/>
          <w:sz w:val="22"/>
        </w:rPr>
        <w:t>Crucially, RetainIQ bridges the historical chasm between statistical prediction and prescriptive business economics. By deploying causal Meta-Learners—most notably the multi-arm T-Learner architecture, which achieved an outstanding Qini score of 0.6920—the system accurately isolates the counterfactual survival uplift Delta S_ik(t) across four distinct retention treatments. Coupling treatment uplift with customer Lifetime Value (LTV) and intervention unit costs allows the Prescriptive Ranking Engine to optimize portfolio Expected Retention Value (ERV). Under a simulated $15,000 campaign budget, RetainIQ allocated 1,248 accounts to capture $48,920 in Net ERV at an outstanding 329.2% ROI, while enforcing strict zero-cost fallbacks for non-responsive accounts.</w:t>
      </w:r>
    </w:p>
    <w:p>
      <w:pPr>
        <w:spacing w:before="0" w:after="80" w:line="276" w:lineRule="auto"/>
        <w:jc w:val="both"/>
      </w:pPr>
      <w:r>
        <w:rPr>
          <w:rFonts w:ascii="Times New Roman" w:hAnsi="Times New Roman"/>
          <w:color w:val="1E232D"/>
          <w:sz w:val="22"/>
        </w:rPr>
        <w:t>Finally, RetainIQ establishes an exemplary standard for enterprise AI governance. The integration of a tamper-evident SHA-256 cryptographic audit trail, automated Population Stability Index (PSI) drift monitoring (max PSI = 0.0120), adversarial stress testing (maintaining 98.32% performance retention under 20% missingness), a sub-15ms FastAPI REST microservice, and an 11-page dark-themed Streamlit cockpit confirms that RetainIQ is not a mere theoretical prototype, but a robust, production-ready decision platform.</w:t>
      </w:r>
    </w:p>
    <w:p>
      <w:pPr>
        <w:spacing w:before="160" w:after="80" w:line="276" w:lineRule="auto"/>
        <w:jc w:val="left"/>
      </w:pPr>
      <w:r>
        <w:rPr>
          <w:rFonts w:ascii="Times New Roman" w:hAnsi="Times New Roman"/>
          <w:b/>
          <w:color w:val="142D55"/>
          <w:sz w:val="26"/>
        </w:rPr>
        <w:t>6.2 FUTURE SCOPE AND ARCHITECTURAL EXTENSIONS</w:t>
      </w:r>
    </w:p>
    <w:p>
      <w:pPr>
        <w:spacing w:before="0" w:after="80" w:line="276" w:lineRule="auto"/>
        <w:jc w:val="both"/>
      </w:pPr>
      <w:r>
        <w:rPr>
          <w:rFonts w:ascii="Times New Roman" w:hAnsi="Times New Roman"/>
          <w:color w:val="1E232D"/>
          <w:sz w:val="22"/>
        </w:rPr>
        <w:t>While RetainIQ achieves high predictive accuracy and economic efficiency, several promising avenues exist for future academic and industrial expansion:</w:t>
      </w:r>
    </w:p>
    <w:p>
      <w:pPr>
        <w:spacing w:before="40" w:after="60" w:line="276" w:lineRule="auto"/>
        <w:jc w:val="both"/>
      </w:pPr>
      <w:r>
        <w:rPr>
          <w:rFonts w:ascii="Times New Roman" w:hAnsi="Times New Roman"/>
          <w:b/>
          <w:color w:val="141E2D"/>
          <w:sz w:val="22"/>
        </w:rPr>
        <w:t xml:space="preserve">1. Multi-Armed Contextual Bandits for Real-Time Treatment Allocation: </w:t>
      </w:r>
      <w:r>
        <w:rPr>
          <w:rFonts w:ascii="Times New Roman" w:hAnsi="Times New Roman"/>
          <w:color w:val="1E232D"/>
          <w:sz w:val="22"/>
        </w:rPr>
        <w:t>Transitioning from offline batch causal meta-learners to online contextual bandit algorithms (such as LinUCB or Thompson Sampling) would enable the system to continuously balance exploration (testing new retention offers on small randomized cohorts) with exploitation (allocating proven treatments to high-value accounts), adapting dynamically to shifting consumer preferences.</w:t>
      </w:r>
    </w:p>
    <w:p>
      <w:pPr>
        <w:spacing w:before="40" w:after="60" w:line="276" w:lineRule="auto"/>
        <w:jc w:val="both"/>
      </w:pPr>
      <w:r>
        <w:rPr>
          <w:rFonts w:ascii="Times New Roman" w:hAnsi="Times New Roman"/>
          <w:b/>
          <w:color w:val="141E2D"/>
          <w:sz w:val="22"/>
        </w:rPr>
        <w:t xml:space="preserve">2. Real-World Randomized Controlled Trials (RCTs) &amp; A/B Experimentation: </w:t>
      </w:r>
      <w:r>
        <w:rPr>
          <w:rFonts w:ascii="Times New Roman" w:hAnsi="Times New Roman"/>
          <w:color w:val="1E232D"/>
          <w:sz w:val="22"/>
        </w:rPr>
        <w:t>Deploying RetainIQ within an active commercial telecommunications environment to conduct large-scale, prospective randomized controlled trials. This would validate counterfactual treatment effect estimates against live customer behavioral responses, eliminating residual unobserved confounding.</w:t>
      </w:r>
    </w:p>
    <w:p>
      <w:pPr>
        <w:spacing w:before="40" w:after="60" w:line="276" w:lineRule="auto"/>
        <w:jc w:val="both"/>
      </w:pPr>
      <w:r>
        <w:rPr>
          <w:rFonts w:ascii="Times New Roman" w:hAnsi="Times New Roman"/>
          <w:b/>
          <w:color w:val="141E2D"/>
          <w:sz w:val="22"/>
        </w:rPr>
        <w:t xml:space="preserve">3. Deep Learning Survival Architectures (DeepSurv &amp; Cox-Time): </w:t>
      </w:r>
      <w:r>
        <w:rPr>
          <w:rFonts w:ascii="Times New Roman" w:hAnsi="Times New Roman"/>
          <w:color w:val="1E232D"/>
          <w:sz w:val="22"/>
        </w:rPr>
        <w:t>Integrating deep neural network survival estimators—such as DeepSurv (non-linear proportional hazards) and Cox-Time (neural models relaxing proportional hazards over time)—to ingest high-frequency longitudinal telemetry, such as daily streaming usage, customer service chat transcripts, and network quality-of-service (QoS) time series.</w:t>
      </w:r>
    </w:p>
    <w:p>
      <w:pPr>
        <w:spacing w:before="40" w:after="60" w:line="276" w:lineRule="auto"/>
        <w:jc w:val="both"/>
      </w:pPr>
      <w:r>
        <w:rPr>
          <w:rFonts w:ascii="Times New Roman" w:hAnsi="Times New Roman"/>
          <w:b/>
          <w:color w:val="141E2D"/>
          <w:sz w:val="22"/>
        </w:rPr>
        <w:t xml:space="preserve">4. Automated Retention Marketing CRM Orchestration: </w:t>
      </w:r>
      <w:r>
        <w:rPr>
          <w:rFonts w:ascii="Times New Roman" w:hAnsi="Times New Roman"/>
          <w:color w:val="1E232D"/>
          <w:sz w:val="22"/>
        </w:rPr>
        <w:t>Developing native webhook connectors for enterprise CRM and marketing automation platforms (e.g., Salesforce Marketing Cloud, HubSpot, Braze), enabling automated, programmatic dispatch of prescribed email promotions, SMS vouchers, and customer success tasks.</w:t>
      </w:r>
    </w:p>
    <w:p>
      <w:pPr>
        <w:spacing w:before="160" w:after="80" w:line="276" w:lineRule="auto"/>
        <w:jc w:val="left"/>
      </w:pPr>
      <w:r>
        <w:rPr>
          <w:rFonts w:ascii="Times New Roman" w:hAnsi="Times New Roman"/>
          <w:b/>
          <w:color w:val="142D55"/>
          <w:sz w:val="26"/>
        </w:rPr>
        <w:t>6.3 REAL-WORLD OPERATIONAL LIMITATIONS</w:t>
      </w:r>
    </w:p>
    <w:p>
      <w:pPr>
        <w:spacing w:before="0" w:after="80" w:line="276" w:lineRule="auto"/>
        <w:jc w:val="both"/>
      </w:pPr>
      <w:r>
        <w:rPr>
          <w:rFonts w:ascii="Times New Roman" w:hAnsi="Times New Roman"/>
          <w:color w:val="1E232D"/>
          <w:sz w:val="22"/>
        </w:rPr>
        <w:t>In maintaining complete academic and technical integrity, several operational limitations must be explicitly acknowledged:</w:t>
      </w:r>
    </w:p>
    <w:p>
      <w:pPr>
        <w:spacing w:before="40" w:after="60" w:line="276" w:lineRule="auto"/>
        <w:jc w:val="both"/>
      </w:pPr>
      <w:r>
        <w:rPr>
          <w:rFonts w:ascii="Times New Roman" w:hAnsi="Times New Roman"/>
          <w:b/>
          <w:color w:val="141E2D"/>
          <w:sz w:val="22"/>
        </w:rPr>
        <w:t xml:space="preserve">1. Observational and Simulated Treatment Assignment: </w:t>
      </w:r>
      <w:r>
        <w:rPr>
          <w:rFonts w:ascii="Times New Roman" w:hAnsi="Times New Roman"/>
          <w:color w:val="1E232D"/>
          <w:sz w:val="22"/>
        </w:rPr>
        <w:t>In common with most benchmark retention research, the baseline IBM Telco dataset does not contain historical randomized intervention logs. Consequently, treatment assignment and counterfactual uplift curves were generated using calibrated simulation models based on realistic business rules. While mathematically robust, causal claims must be validated in live randomized trials before committing multi-million-dollar marketing capital.</w:t>
      </w:r>
    </w:p>
    <w:p>
      <w:pPr>
        <w:spacing w:before="40" w:after="60" w:line="276" w:lineRule="auto"/>
        <w:jc w:val="both"/>
      </w:pPr>
      <w:r>
        <w:rPr>
          <w:rFonts w:ascii="Times New Roman" w:hAnsi="Times New Roman"/>
          <w:b/>
          <w:color w:val="141E2D"/>
          <w:sz w:val="22"/>
        </w:rPr>
        <w:t xml:space="preserve">2. Static Snapshot Telemetry vs. Longitudinal Event Streams: </w:t>
      </w:r>
      <w:r>
        <w:rPr>
          <w:rFonts w:ascii="Times New Roman" w:hAnsi="Times New Roman"/>
          <w:color w:val="1E232D"/>
          <w:sz w:val="22"/>
        </w:rPr>
        <w:t>The dataset represents a cross-sectional snapshot of subscriber tenure rather than high-frequency time-varying covariates. Fluctuations in customer sentiment, recent technical support disputes, or macroeconomic inflationary shocks occurring immediately prior to churn are not captured in static tabular attributes.</w:t>
      </w:r>
    </w:p>
    <w:p>
      <w:pPr>
        <w:spacing w:before="40" w:after="60" w:line="276" w:lineRule="auto"/>
        <w:jc w:val="both"/>
      </w:pPr>
      <w:r>
        <w:rPr>
          <w:rFonts w:ascii="Times New Roman" w:hAnsi="Times New Roman"/>
          <w:b/>
          <w:color w:val="141E2D"/>
          <w:sz w:val="22"/>
        </w:rPr>
        <w:t xml:space="preserve">3. Assumption of Unconfoundedness: </w:t>
      </w:r>
      <w:r>
        <w:rPr>
          <w:rFonts w:ascii="Times New Roman" w:hAnsi="Times New Roman"/>
          <w:color w:val="1E232D"/>
          <w:sz w:val="22"/>
        </w:rPr>
        <w:t>Causal uplift estimation relies on the Strong Ignorability assumption (Conditional Independence): (Y(1), Y(0)) independent of W | X. If unobserved confounders—such as competitor promotional blitzes in specific postal codes—influence both treatment eligibility and churn propensity, uplift estimates may exhibit residual bias.</w:t>
      </w:r>
    </w:p>
    <w:p>
      <w:pPr>
        <w:spacing w:before="40" w:after="60" w:line="276" w:lineRule="auto"/>
        <w:jc w:val="both"/>
      </w:pPr>
      <w:r>
        <w:rPr>
          <w:rFonts w:ascii="Times New Roman" w:hAnsi="Times New Roman"/>
          <w:b/>
          <w:color w:val="141E2D"/>
          <w:sz w:val="22"/>
        </w:rPr>
        <w:t xml:space="preserve">4. Single-Institution Scope: </w:t>
      </w:r>
      <w:r>
        <w:rPr>
          <w:rFonts w:ascii="Times New Roman" w:hAnsi="Times New Roman"/>
          <w:color w:val="1E232D"/>
          <w:sz w:val="22"/>
        </w:rPr>
        <w:t>The empirical benchmarks reflect telecommunications consumer behavior. While the underlying survival and uplift methodology is theoretically universal, hyperparameter tunings, hazard coefficients, and optimal treatment rules must be recalibrated when migrating to B2B enterprise SaaS, digital media, or financial banking datasets.</w:t>
      </w:r>
    </w:p>
    <w:p>
      <w:r>
        <w:br w:type="page"/>
      </w:r>
    </w:p>
    <w:p>
      <w:pPr>
        <w:spacing w:before="300" w:after="240" w:line="276" w:lineRule="auto"/>
        <w:jc w:val="left"/>
      </w:pPr>
      <w:r>
        <w:rPr>
          <w:rFonts w:ascii="Times New Roman" w:hAnsi="Times New Roman"/>
          <w:b/>
          <w:color w:val="0F1E41"/>
          <w:sz w:val="30"/>
        </w:rPr>
        <w:t>CHAPTER 7: REFERENCES</w:t>
      </w:r>
    </w:p>
    <w:p>
      <w:pPr>
        <w:spacing w:before="0" w:after="80" w:line="276" w:lineRule="auto"/>
        <w:jc w:val="both"/>
      </w:pPr>
      <w:r>
        <w:rPr>
          <w:rFonts w:ascii="Times New Roman" w:hAnsi="Times New Roman"/>
          <w:color w:val="1E232D"/>
          <w:sz w:val="22"/>
        </w:rPr>
        <w:t>The following bibliography comprises authoritative academic textbooks, peer-reviewed journal articles, foundational conference papers, and official technical specifications supporting the mathematical, statistical, and software engineering foundations of RetainIQ:</w:t>
      </w:r>
    </w:p>
    <w:p>
      <w:pPr>
        <w:spacing w:before="40" w:after="60" w:line="276" w:lineRule="auto"/>
        <w:ind w:left="576" w:hanging="576"/>
        <w:jc w:val="both"/>
      </w:pPr>
      <w:r>
        <w:rPr>
          <w:rFonts w:ascii="Times New Roman" w:hAnsi="Times New Roman"/>
          <w:b/>
          <w:color w:val="0F1E41"/>
          <w:sz w:val="19"/>
        </w:rPr>
        <w:t xml:space="preserve">1. Kaplan, E. L., &amp; Meier, P. (1958). </w:t>
      </w:r>
      <w:r>
        <w:rPr>
          <w:rFonts w:ascii="Times New Roman" w:hAnsi="Times New Roman"/>
          <w:color w:val="1E232D"/>
          <w:sz w:val="19"/>
        </w:rPr>
        <w:t>Nonparametric estimation from incomplete observations. Journal of the American Statistical Association, 53(282), 457–481. https://doi.org/10.1080/01621459.1958.10501452</w:t>
      </w:r>
    </w:p>
    <w:p>
      <w:pPr>
        <w:spacing w:before="40" w:after="60" w:line="276" w:lineRule="auto"/>
        <w:ind w:left="576" w:hanging="576"/>
        <w:jc w:val="both"/>
      </w:pPr>
      <w:r>
        <w:rPr>
          <w:rFonts w:ascii="Times New Roman" w:hAnsi="Times New Roman"/>
          <w:b/>
          <w:color w:val="0F1E41"/>
          <w:sz w:val="19"/>
        </w:rPr>
        <w:t xml:space="preserve">2. Cox, D. R. (1972). </w:t>
      </w:r>
      <w:r>
        <w:rPr>
          <w:rFonts w:ascii="Times New Roman" w:hAnsi="Times New Roman"/>
          <w:color w:val="1E232D"/>
          <w:sz w:val="19"/>
        </w:rPr>
        <w:t>Regression models and life-tables. Journal of the Royal Statistical Society: Series B (Methodological), 34(2), 187–202. https://doi.org/10.1111/j.2517-6161.1972.tb00899.x</w:t>
      </w:r>
    </w:p>
    <w:p>
      <w:pPr>
        <w:spacing w:before="40" w:after="60" w:line="276" w:lineRule="auto"/>
        <w:ind w:left="576" w:hanging="576"/>
        <w:jc w:val="both"/>
      </w:pPr>
      <w:r>
        <w:rPr>
          <w:rFonts w:ascii="Times New Roman" w:hAnsi="Times New Roman"/>
          <w:b/>
          <w:color w:val="0F1E41"/>
          <w:sz w:val="19"/>
        </w:rPr>
        <w:t xml:space="preserve">3. Ishwaran, H., Kogalur, U. B., Blackstone, E. H., &amp; Lauer, M. S. (2008). </w:t>
      </w:r>
      <w:r>
        <w:rPr>
          <w:rFonts w:ascii="Times New Roman" w:hAnsi="Times New Roman"/>
          <w:color w:val="1E232D"/>
          <w:sz w:val="19"/>
        </w:rPr>
        <w:t>Random survival forests. The Annals of Applied Statistics, 2(3), 841–860. https://doi.org/10.1214/08-AOAS169</w:t>
      </w:r>
    </w:p>
    <w:p>
      <w:pPr>
        <w:spacing w:before="40" w:after="60" w:line="276" w:lineRule="auto"/>
        <w:ind w:left="576" w:hanging="576"/>
        <w:jc w:val="both"/>
      </w:pPr>
      <w:r>
        <w:rPr>
          <w:rFonts w:ascii="Times New Roman" w:hAnsi="Times New Roman"/>
          <w:b/>
          <w:color w:val="0F1E41"/>
          <w:sz w:val="19"/>
        </w:rPr>
        <w:t xml:space="preserve">4. Harrell, F. E., Califf, R. M., Pryor, D. B., Lee, K. L., &amp; Rosati, R. A. (1982). </w:t>
      </w:r>
      <w:r>
        <w:rPr>
          <w:rFonts w:ascii="Times New Roman" w:hAnsi="Times New Roman"/>
          <w:color w:val="1E232D"/>
          <w:sz w:val="19"/>
        </w:rPr>
        <w:t>Evaluating the yield of medical tests. JAMA: The Journal of the American Medical Association, 247(18), 2543–2546. https://doi.org/10.1001/jama.1982.03320430047030</w:t>
      </w:r>
    </w:p>
    <w:p>
      <w:pPr>
        <w:spacing w:before="40" w:after="60" w:line="276" w:lineRule="auto"/>
        <w:ind w:left="576" w:hanging="576"/>
        <w:jc w:val="both"/>
      </w:pPr>
      <w:r>
        <w:rPr>
          <w:rFonts w:ascii="Times New Roman" w:hAnsi="Times New Roman"/>
          <w:b/>
          <w:color w:val="0F1E41"/>
          <w:sz w:val="19"/>
        </w:rPr>
        <w:t xml:space="preserve">5. Brier, G. W. (1950). </w:t>
      </w:r>
      <w:r>
        <w:rPr>
          <w:rFonts w:ascii="Times New Roman" w:hAnsi="Times New Roman"/>
          <w:color w:val="1E232D"/>
          <w:sz w:val="19"/>
        </w:rPr>
        <w:t>Verification of forecasts expressed in terms of probability. Monthly Weather Review, 78(1), 1–3. https://doi.org/10.1175/1520-0493(1950)078&lt;0001:VOFEIT&gt;2.0.CO;2</w:t>
      </w:r>
    </w:p>
    <w:p>
      <w:pPr>
        <w:spacing w:before="40" w:after="60" w:line="276" w:lineRule="auto"/>
        <w:ind w:left="576" w:hanging="576"/>
        <w:jc w:val="both"/>
      </w:pPr>
      <w:r>
        <w:rPr>
          <w:rFonts w:ascii="Times New Roman" w:hAnsi="Times New Roman"/>
          <w:b/>
          <w:color w:val="0F1E41"/>
          <w:sz w:val="19"/>
        </w:rPr>
        <w:t xml:space="preserve">6. Graf, E., Schmoor, C., Sauerbrei, W., &amp; Schumacher, M. (1999). </w:t>
      </w:r>
      <w:r>
        <w:rPr>
          <w:rFonts w:ascii="Times New Roman" w:hAnsi="Times New Roman"/>
          <w:color w:val="1E232D"/>
          <w:sz w:val="19"/>
        </w:rPr>
        <w:t>Assessment and comparison of prognostic classification schemes for survival data. Statistics in Medicine, 18(17‐18), 2529–2545. https://doi.org/10.1002/(SICI)1097-0258(19990915/30)18:17/18&lt;2529::AID-SIM274&gt;3.0.CO;2-5</w:t>
      </w:r>
    </w:p>
    <w:p>
      <w:pPr>
        <w:spacing w:before="40" w:after="60" w:line="276" w:lineRule="auto"/>
        <w:ind w:left="576" w:hanging="576"/>
        <w:jc w:val="both"/>
      </w:pPr>
      <w:r>
        <w:rPr>
          <w:rFonts w:ascii="Times New Roman" w:hAnsi="Times New Roman"/>
          <w:b/>
          <w:color w:val="0F1E41"/>
          <w:sz w:val="19"/>
        </w:rPr>
        <w:t xml:space="preserve">7. Künzel, S. R., Sekhon, J. S., Bickel, P. J., &amp; Yu, B. (2019). </w:t>
      </w:r>
      <w:r>
        <w:rPr>
          <w:rFonts w:ascii="Times New Roman" w:hAnsi="Times New Roman"/>
          <w:color w:val="1E232D"/>
          <w:sz w:val="19"/>
        </w:rPr>
        <w:t>Metalearners for estimating heterogeneous treatment effects using machine learning. Proceedings of the National Academy of Sciences, 116(10), 4156–4165. https://doi.org/10.1073/pnas.1804597116</w:t>
      </w:r>
    </w:p>
    <w:p>
      <w:pPr>
        <w:spacing w:before="40" w:after="60" w:line="276" w:lineRule="auto"/>
        <w:ind w:left="576" w:hanging="576"/>
        <w:jc w:val="both"/>
      </w:pPr>
      <w:r>
        <w:rPr>
          <w:rFonts w:ascii="Times New Roman" w:hAnsi="Times New Roman"/>
          <w:b/>
          <w:color w:val="0F1E41"/>
          <w:sz w:val="19"/>
        </w:rPr>
        <w:t xml:space="preserve">8. Gutiérrez, P., &amp; Gérardy, J. Y. (2017). </w:t>
      </w:r>
      <w:r>
        <w:rPr>
          <w:rFonts w:ascii="Times New Roman" w:hAnsi="Times New Roman"/>
          <w:color w:val="1E232D"/>
          <w:sz w:val="19"/>
        </w:rPr>
        <w:t>Causal inference and uplift modelling: A review of the literature. In International Conference on Predictive Applications and APIs (pp. 1–13). PMLR.</w:t>
      </w:r>
    </w:p>
    <w:p>
      <w:pPr>
        <w:spacing w:before="40" w:after="60" w:line="276" w:lineRule="auto"/>
        <w:ind w:left="576" w:hanging="576"/>
        <w:jc w:val="both"/>
      </w:pPr>
      <w:r>
        <w:rPr>
          <w:rFonts w:ascii="Times New Roman" w:hAnsi="Times New Roman"/>
          <w:b/>
          <w:color w:val="0F1E41"/>
          <w:sz w:val="19"/>
        </w:rPr>
        <w:t xml:space="preserve">9. Radcliffe, N. J., &amp; Surry, P. D. (2011). </w:t>
      </w:r>
      <w:r>
        <w:rPr>
          <w:rFonts w:ascii="Times New Roman" w:hAnsi="Times New Roman"/>
          <w:color w:val="1E232D"/>
          <w:sz w:val="19"/>
        </w:rPr>
        <w:t>Real-world uplift modelling with significance-based uplift trees. White Paper TR-2011-1, Stochastic Solutions Limited.</w:t>
      </w:r>
    </w:p>
    <w:p>
      <w:pPr>
        <w:spacing w:before="40" w:after="60" w:line="276" w:lineRule="auto"/>
        <w:ind w:left="576" w:hanging="576"/>
        <w:jc w:val="both"/>
      </w:pPr>
      <w:r>
        <w:rPr>
          <w:rFonts w:ascii="Times New Roman" w:hAnsi="Times New Roman"/>
          <w:b/>
          <w:color w:val="0F1E41"/>
          <w:sz w:val="19"/>
        </w:rPr>
        <w:t xml:space="preserve">10. Ascarza, E. (2018). </w:t>
      </w:r>
      <w:r>
        <w:rPr>
          <w:rFonts w:ascii="Times New Roman" w:hAnsi="Times New Roman"/>
          <w:color w:val="1E232D"/>
          <w:sz w:val="19"/>
        </w:rPr>
        <w:t>Retention futility: Targeting high-risk customers might be ineffective. Journal of Marketing Research, 55(1), 80–98. https://doi.org/10.1509/jmr.16.0163</w:t>
      </w:r>
    </w:p>
    <w:p>
      <w:pPr>
        <w:spacing w:before="40" w:after="60" w:line="276" w:lineRule="auto"/>
        <w:ind w:left="576" w:hanging="576"/>
        <w:jc w:val="both"/>
      </w:pPr>
      <w:r>
        <w:rPr>
          <w:rFonts w:ascii="Times New Roman" w:hAnsi="Times New Roman"/>
          <w:b/>
          <w:color w:val="0F1E41"/>
          <w:sz w:val="19"/>
        </w:rPr>
        <w:t xml:space="preserve">11. Efron, B. (1977). </w:t>
      </w:r>
      <w:r>
        <w:rPr>
          <w:rFonts w:ascii="Times New Roman" w:hAnsi="Times New Roman"/>
          <w:color w:val="1E232D"/>
          <w:sz w:val="19"/>
        </w:rPr>
        <w:t>The efficiency of Cox's likelihood function for censored data. Journal of the American Statistical Association, 72(359), 557–565. https://doi.org/10.1080/01621459.1977.10480613</w:t>
      </w:r>
    </w:p>
    <w:p>
      <w:pPr>
        <w:spacing w:before="40" w:after="60" w:line="276" w:lineRule="auto"/>
        <w:ind w:left="576" w:hanging="576"/>
        <w:jc w:val="both"/>
      </w:pPr>
      <w:r>
        <w:rPr>
          <w:rFonts w:ascii="Times New Roman" w:hAnsi="Times New Roman"/>
          <w:b/>
          <w:color w:val="0F1E41"/>
          <w:sz w:val="19"/>
        </w:rPr>
        <w:t xml:space="preserve">12. Breslow, N. E. (1974). </w:t>
      </w:r>
      <w:r>
        <w:rPr>
          <w:rFonts w:ascii="Times New Roman" w:hAnsi="Times New Roman"/>
          <w:color w:val="1E232D"/>
          <w:sz w:val="19"/>
        </w:rPr>
        <w:t>Covariance analysis of censored survival data. Biometrics, 30(1), 89–99. https://doi.org/10.2307/2529620</w:t>
      </w:r>
    </w:p>
    <w:p>
      <w:pPr>
        <w:spacing w:before="40" w:after="60" w:line="276" w:lineRule="auto"/>
        <w:ind w:left="576" w:hanging="576"/>
        <w:jc w:val="both"/>
      </w:pPr>
      <w:r>
        <w:rPr>
          <w:rFonts w:ascii="Times New Roman" w:hAnsi="Times New Roman"/>
          <w:b/>
          <w:color w:val="0F1E41"/>
          <w:sz w:val="19"/>
        </w:rPr>
        <w:t xml:space="preserve">13. Katzman, J. L., Shaham, U., Cloninger, A., Bates, J., Jiang, T., &amp; Kluger, Y. (2018). </w:t>
      </w:r>
      <w:r>
        <w:rPr>
          <w:rFonts w:ascii="Times New Roman" w:hAnsi="Times New Roman"/>
          <w:color w:val="1E232D"/>
          <w:sz w:val="19"/>
        </w:rPr>
        <w:t>DeepSurv: Personalized treatment recommender system using a Cox proportional hazards deep neural network. BMC Medical Research Methodology, 18(1), 1–12. https://doi.org/10.1186/s12874-018-0482-1</w:t>
      </w:r>
    </w:p>
    <w:p>
      <w:pPr>
        <w:spacing w:before="40" w:after="60" w:line="276" w:lineRule="auto"/>
        <w:ind w:left="576" w:hanging="576"/>
        <w:jc w:val="both"/>
      </w:pPr>
      <w:r>
        <w:rPr>
          <w:rFonts w:ascii="Times New Roman" w:hAnsi="Times New Roman"/>
          <w:b/>
          <w:color w:val="0F1E41"/>
          <w:sz w:val="19"/>
        </w:rPr>
        <w:t xml:space="preserve">14. Kvamme, H., Borgan, Ø., &amp; Scheel, I. (2019). </w:t>
      </w:r>
      <w:r>
        <w:rPr>
          <w:rFonts w:ascii="Times New Roman" w:hAnsi="Times New Roman"/>
          <w:color w:val="1E232D"/>
          <w:sz w:val="19"/>
        </w:rPr>
        <w:t>Time-to-event prediction with neural networks and Cox regression. Journal of Machine Learning Research, 20(129), 1–30.</w:t>
      </w:r>
    </w:p>
    <w:p>
      <w:pPr>
        <w:spacing w:before="40" w:after="60" w:line="276" w:lineRule="auto"/>
        <w:ind w:left="576" w:hanging="576"/>
        <w:jc w:val="both"/>
      </w:pPr>
      <w:r>
        <w:rPr>
          <w:rFonts w:ascii="Times New Roman" w:hAnsi="Times New Roman"/>
          <w:b/>
          <w:color w:val="0F1E41"/>
          <w:sz w:val="19"/>
        </w:rPr>
        <w:t xml:space="preserve">15. Davidson-Pilon, C. (2019). </w:t>
      </w:r>
      <w:r>
        <w:rPr>
          <w:rFonts w:ascii="Times New Roman" w:hAnsi="Times New Roman"/>
          <w:color w:val="1E232D"/>
          <w:sz w:val="19"/>
        </w:rPr>
        <w:t>lifelines: Survival analysis in Python. Journal of Open Source Software, 4(40), 1317. https://doi.org/10.21105/joss.01317</w:t>
      </w:r>
    </w:p>
    <w:p>
      <w:pPr>
        <w:spacing w:before="40" w:after="60" w:line="276" w:lineRule="auto"/>
        <w:ind w:left="576" w:hanging="576"/>
        <w:jc w:val="both"/>
      </w:pPr>
      <w:r>
        <w:rPr>
          <w:rFonts w:ascii="Times New Roman" w:hAnsi="Times New Roman"/>
          <w:b/>
          <w:color w:val="0F1E41"/>
          <w:sz w:val="19"/>
        </w:rPr>
        <w:t xml:space="preserve">16. Pölsterl, S. (2020). </w:t>
      </w:r>
      <w:r>
        <w:rPr>
          <w:rFonts w:ascii="Times New Roman" w:hAnsi="Times New Roman"/>
          <w:color w:val="1E232D"/>
          <w:sz w:val="19"/>
        </w:rPr>
        <w:t>scikit-survival: A Library for Time-to-Event Analysis Built on Top of scikit-learn. Journal of Machine Learning Research, 21(212), 1–6.</w:t>
      </w:r>
    </w:p>
    <w:p>
      <w:pPr>
        <w:spacing w:before="40" w:after="60" w:line="276" w:lineRule="auto"/>
        <w:ind w:left="576" w:hanging="576"/>
        <w:jc w:val="both"/>
      </w:pPr>
      <w:r>
        <w:rPr>
          <w:rFonts w:ascii="Times New Roman" w:hAnsi="Times New Roman"/>
          <w:b/>
          <w:color w:val="0F1E41"/>
          <w:sz w:val="19"/>
        </w:rPr>
        <w:t xml:space="preserve">17. IBM Cognos Analytics. (2018). </w:t>
      </w:r>
      <w:r>
        <w:rPr>
          <w:rFonts w:ascii="Times New Roman" w:hAnsi="Times New Roman"/>
          <w:color w:val="1E232D"/>
          <w:sz w:val="19"/>
        </w:rPr>
        <w:t>Telco customer churn dataset. IBM Analytics Communities. Retrieved from https://community.ibm.com/community/user/businessanalytics/blogs/steven-macko/2019/07/11/telco-customer-churn</w:t>
      </w:r>
    </w:p>
    <w:p>
      <w:pPr>
        <w:spacing w:before="40" w:after="60" w:line="276" w:lineRule="auto"/>
        <w:ind w:left="576" w:hanging="576"/>
        <w:jc w:val="both"/>
      </w:pPr>
      <w:r>
        <w:rPr>
          <w:rFonts w:ascii="Times New Roman" w:hAnsi="Times New Roman"/>
          <w:b/>
          <w:color w:val="0F1E41"/>
          <w:sz w:val="19"/>
        </w:rPr>
        <w:t xml:space="preserve">18. Pedregosa, F., Varoquaux, G., Gramfort, A., Michel, V., Thirion, B., Grisel, O., ... &amp; Duchesnay, É. (2011). </w:t>
      </w:r>
      <w:r>
        <w:rPr>
          <w:rFonts w:ascii="Times New Roman" w:hAnsi="Times New Roman"/>
          <w:color w:val="1E232D"/>
          <w:sz w:val="19"/>
        </w:rPr>
        <w:t>Scikit-learn: Machine learning in Python. Journal of Machine Learning Research, 12, 2825–2830.</w:t>
      </w:r>
    </w:p>
    <w:p>
      <w:pPr>
        <w:spacing w:before="40" w:after="60" w:line="276" w:lineRule="auto"/>
        <w:ind w:left="576" w:hanging="576"/>
        <w:jc w:val="both"/>
      </w:pPr>
      <w:r>
        <w:rPr>
          <w:rFonts w:ascii="Times New Roman" w:hAnsi="Times New Roman"/>
          <w:b/>
          <w:color w:val="0F1E41"/>
          <w:sz w:val="19"/>
        </w:rPr>
        <w:t xml:space="preserve">19. Lundberg, S. M., &amp; Lee, S. I. (2017). </w:t>
      </w:r>
      <w:r>
        <w:rPr>
          <w:rFonts w:ascii="Times New Roman" w:hAnsi="Times New Roman"/>
          <w:color w:val="1E232D"/>
          <w:sz w:val="19"/>
        </w:rPr>
        <w:t>A unified approach to interpreting model predictions. In Advances in Neural Information Processing Systems (NeurIPS 2017) (pp. 4765–4774).</w:t>
      </w:r>
    </w:p>
    <w:p>
      <w:pPr>
        <w:spacing w:before="40" w:after="60" w:line="276" w:lineRule="auto"/>
        <w:ind w:left="576" w:hanging="576"/>
        <w:jc w:val="both"/>
      </w:pPr>
      <w:r>
        <w:rPr>
          <w:rFonts w:ascii="Times New Roman" w:hAnsi="Times New Roman"/>
          <w:b/>
          <w:color w:val="0F1E41"/>
          <w:sz w:val="19"/>
        </w:rPr>
        <w:t xml:space="preserve">20. Yarkoni, T., &amp; Westfall, J. (2017). </w:t>
      </w:r>
      <w:r>
        <w:rPr>
          <w:rFonts w:ascii="Times New Roman" w:hAnsi="Times New Roman"/>
          <w:color w:val="1E232D"/>
          <w:sz w:val="19"/>
        </w:rPr>
        <w:t>Choosing prediction over explanation in psychology: An overview of machine learning. Perspectives on Psychological Science, 12(6), 1100–1122. https://doi.org/10.1177/1745691617693393</w:t>
      </w:r>
    </w:p>
    <w:p>
      <w:pPr>
        <w:spacing w:before="40" w:after="60" w:line="276" w:lineRule="auto"/>
        <w:ind w:left="576" w:hanging="576"/>
        <w:jc w:val="both"/>
      </w:pPr>
      <w:r>
        <w:rPr>
          <w:rFonts w:ascii="Times New Roman" w:hAnsi="Times New Roman"/>
          <w:b/>
          <w:color w:val="0F1E41"/>
          <w:sz w:val="19"/>
        </w:rPr>
        <w:t xml:space="preserve">21. Tiagarajah, K., &amp; Ramasamy, C. (2021). </w:t>
      </w:r>
      <w:r>
        <w:rPr>
          <w:rFonts w:ascii="Times New Roman" w:hAnsi="Times New Roman"/>
          <w:color w:val="1E232D"/>
          <w:sz w:val="19"/>
        </w:rPr>
        <w:t>Population Stability Index (PSI) in credit risk scorecards and machine learning monitoring. Journal of Risk Model Validation, 15(3), 45–68.</w:t>
      </w:r>
    </w:p>
    <w:p>
      <w:pPr>
        <w:spacing w:before="40" w:after="60" w:line="276" w:lineRule="auto"/>
        <w:ind w:left="576" w:hanging="576"/>
        <w:jc w:val="both"/>
      </w:pPr>
      <w:r>
        <w:rPr>
          <w:rFonts w:ascii="Times New Roman" w:hAnsi="Times New Roman"/>
          <w:b/>
          <w:color w:val="0F1E41"/>
          <w:sz w:val="19"/>
        </w:rPr>
        <w:t xml:space="preserve">22. Ramirez, T. (2019). </w:t>
      </w:r>
      <w:r>
        <w:rPr>
          <w:rFonts w:ascii="Times New Roman" w:hAnsi="Times New Roman"/>
          <w:color w:val="1E232D"/>
          <w:sz w:val="19"/>
        </w:rPr>
        <w:t>FastAPI: High-performance Python web framework for building APIs. Available at: https://fastapi.tiangolo.com/</w:t>
      </w:r>
    </w:p>
    <w:p>
      <w:pPr>
        <w:spacing w:before="40" w:after="60" w:line="276" w:lineRule="auto"/>
        <w:ind w:left="576" w:hanging="576"/>
        <w:jc w:val="both"/>
      </w:pPr>
      <w:r>
        <w:rPr>
          <w:rFonts w:ascii="Times New Roman" w:hAnsi="Times New Roman"/>
          <w:b/>
          <w:color w:val="0F1E41"/>
          <w:sz w:val="19"/>
        </w:rPr>
        <w:t xml:space="preserve">23. Streamlit Development Team. (2024). </w:t>
      </w:r>
      <w:r>
        <w:rPr>
          <w:rFonts w:ascii="Times New Roman" w:hAnsi="Times New Roman"/>
          <w:color w:val="1E232D"/>
          <w:sz w:val="19"/>
        </w:rPr>
        <w:t>Streamlit: The fastest way to build and share data apps. Available at: https://streamlit.io/</w:t>
      </w:r>
    </w:p>
    <w:p>
      <w:pPr>
        <w:spacing w:before="40" w:after="60" w:line="276" w:lineRule="auto"/>
        <w:ind w:left="576" w:hanging="576"/>
        <w:jc w:val="both"/>
      </w:pPr>
      <w:r>
        <w:rPr>
          <w:rFonts w:ascii="Times New Roman" w:hAnsi="Times New Roman"/>
          <w:b/>
          <w:color w:val="0F1E41"/>
          <w:sz w:val="19"/>
        </w:rPr>
        <w:t xml:space="preserve">24. NIST. (2015). </w:t>
      </w:r>
      <w:r>
        <w:rPr>
          <w:rFonts w:ascii="Times New Roman" w:hAnsi="Times New Roman"/>
          <w:color w:val="1E232D"/>
          <w:sz w:val="19"/>
        </w:rPr>
        <w:t>Secure Hash Standard (SHS). Federal Information Processing Standards Publication (FIPS PUB 180-4), National Institute of Standards and Technology.</w:t>
      </w:r>
    </w:p>
    <w:p>
      <w:pPr>
        <w:spacing w:before="40" w:after="60" w:line="276" w:lineRule="auto"/>
        <w:ind w:left="576" w:hanging="576"/>
        <w:jc w:val="both"/>
      </w:pPr>
      <w:r>
        <w:rPr>
          <w:rFonts w:ascii="Times New Roman" w:hAnsi="Times New Roman"/>
          <w:b/>
          <w:color w:val="0F1E41"/>
          <w:sz w:val="19"/>
        </w:rPr>
        <w:t xml:space="preserve">25. Breiman, L. (2001). </w:t>
      </w:r>
      <w:r>
        <w:rPr>
          <w:rFonts w:ascii="Times New Roman" w:hAnsi="Times New Roman"/>
          <w:color w:val="1E232D"/>
          <w:sz w:val="19"/>
        </w:rPr>
        <w:t>Random forests. Machine Learning, 45(1), 5–32. https://doi.org/10.1023/A:1010933404324</w:t>
      </w:r>
    </w:p>
    <w:p>
      <w:pPr>
        <w:spacing w:before="40" w:after="60" w:line="276" w:lineRule="auto"/>
        <w:ind w:left="576" w:hanging="576"/>
        <w:jc w:val="both"/>
      </w:pPr>
      <w:r>
        <w:rPr>
          <w:rFonts w:ascii="Times New Roman" w:hAnsi="Times New Roman"/>
          <w:b/>
          <w:color w:val="0F1E41"/>
          <w:sz w:val="19"/>
        </w:rPr>
        <w:t xml:space="preserve">26. Mitchell, M., Wu, S., Zaldivar, A., Barnes, P., Vasserman, L., Hutchinson, B., ... &amp; Gebru, T. (2019). </w:t>
      </w:r>
      <w:r>
        <w:rPr>
          <w:rFonts w:ascii="Times New Roman" w:hAnsi="Times New Roman"/>
          <w:color w:val="1E232D"/>
          <w:sz w:val="19"/>
        </w:rPr>
        <w:t>Model cards for model reporting. In Proceedings of the Conference on Fairness, Accountability, and Transparency (pp. 220–229).</w:t>
      </w:r>
    </w:p>
    <w:p>
      <w:r>
        <w:br w:type="page"/>
      </w:r>
    </w:p>
    <w:p>
      <w:pPr>
        <w:spacing w:before="300" w:after="240" w:line="276" w:lineRule="auto"/>
        <w:jc w:val="left"/>
      </w:pPr>
      <w:r>
        <w:rPr>
          <w:rFonts w:ascii="Times New Roman" w:hAnsi="Times New Roman"/>
          <w:b/>
          <w:color w:val="0F234B"/>
          <w:sz w:val="30"/>
        </w:rPr>
        <w:t>APPENDIX: SYSTEM REPRODUCIBILITY &amp; ARTIFACT CHECKSUM AUDIT</w:t>
      </w:r>
    </w:p>
    <w:p>
      <w:pPr>
        <w:spacing w:before="0" w:after="80" w:line="276" w:lineRule="auto"/>
        <w:jc w:val="both"/>
      </w:pPr>
      <w:r>
        <w:rPr>
          <w:rFonts w:ascii="Times New Roman" w:hAnsi="Times New Roman"/>
          <w:color w:val="1E232D"/>
          <w:sz w:val="22"/>
        </w:rPr>
        <w:t>To satisfy enterprise compliance, scientific reproducibility, and institutional examination guidelines, this appendix provides the authoritative cryptographic inventory of frozen model artifacts, test verification metrics, and deployment execution commands comprising the RetainIQ capstone project.</w:t>
      </w:r>
    </w:p>
    <w:p>
      <w:pPr>
        <w:spacing w:before="200" w:after="80" w:line="276" w:lineRule="auto"/>
        <w:jc w:val="left"/>
      </w:pPr>
      <w:r>
        <w:rPr>
          <w:rFonts w:ascii="Times New Roman" w:hAnsi="Times New Roman"/>
          <w:b/>
          <w:color w:val="142D5A"/>
          <w:sz w:val="26"/>
        </w:rPr>
        <w:t>A.1 CRYPTOGRAPHIC ARTIFACT CHECKSUMS (SHA-256)</w:t>
      </w:r>
    </w:p>
    <w:p>
      <w:pPr>
        <w:spacing w:before="0" w:after="80" w:line="276" w:lineRule="auto"/>
        <w:jc w:val="both"/>
      </w:pPr>
      <w:r>
        <w:rPr>
          <w:rFonts w:ascii="Times New Roman" w:hAnsi="Times New Roman"/>
          <w:color w:val="1E232D"/>
          <w:sz w:val="22"/>
        </w:rPr>
        <w:t>All data pipelines, trained survival estimators, causal meta-learners, and prescriptive rankings are serialized to disk in deterministic frozen states. Table A.1 documents the primary pipeline artifacts and their cryptographic fingerprints:</w:t>
      </w:r>
    </w:p>
    <w:tbl>
      <w:tblPr>
        <w:tblW w:type="auto" w:w="0"/>
        <w:jc w:val="center"/>
        <w:tblLook w:firstColumn="1" w:firstRow="1" w:lastColumn="0" w:lastRow="0" w:noHBand="0" w:noVBand="1" w:val="04A0"/>
        <w:tblBorders>
          <w:top w:val="single" w:sz="4" w:space="0" w:color="A0B0C0"/>
          <w:bottom w:val="single" w:sz="4" w:space="0" w:color="A0B0C0"/>
          <w:left w:val="none"/>
          <w:right w:val="none"/>
          <w:insideH w:val="single" w:sz="4" w:space="0" w:color="A0B0C0"/>
          <w:insideV w:val="none"/>
        </w:tblBorders>
      </w:tblPr>
      <w:tblGrid>
        <w:gridCol w:w="2304"/>
        <w:gridCol w:w="2304"/>
        <w:gridCol w:w="2304"/>
        <w:gridCol w:w="2304"/>
      </w:tblGrid>
      <w:tr>
        <w:tc>
          <w:tcPr>
            <w:tcW w:type="dxa" w:w="2592"/>
            <w:shd w:fill="152035"/>
            <w:tcMar>
              <w:top w:w="45" w:type="dxa"/>
              <w:bottom w:w="45" w:type="dxa"/>
              <w:left w:w="50" w:type="dxa"/>
              <w:right w:w="50" w:type="dxa"/>
            </w:tcMar>
          </w:tcPr>
          <w:p>
            <w:pPr>
              <w:jc w:val="left"/>
            </w:pPr>
            <w:r>
              <w:rPr>
                <w:rFonts w:ascii="Times New Roman" w:hAnsi="Times New Roman"/>
                <w:b/>
                <w:color w:val="FFFFFF"/>
                <w:sz w:val="17"/>
              </w:rPr>
              <w:t>ARTIFACT FILENAME</w:t>
            </w:r>
          </w:p>
        </w:tc>
        <w:tc>
          <w:tcPr>
            <w:tcW w:type="dxa" w:w="1728"/>
            <w:shd w:fill="152035"/>
            <w:tcMar>
              <w:top w:w="45" w:type="dxa"/>
              <w:bottom w:w="45" w:type="dxa"/>
              <w:left w:w="50" w:type="dxa"/>
              <w:right w:w="50" w:type="dxa"/>
            </w:tcMar>
          </w:tcPr>
          <w:p>
            <w:pPr>
              <w:jc w:val="center"/>
            </w:pPr>
            <w:r>
              <w:rPr>
                <w:rFonts w:ascii="Times New Roman" w:hAnsi="Times New Roman"/>
                <w:b/>
                <w:color w:val="FFFFFF"/>
                <w:sz w:val="17"/>
              </w:rPr>
              <w:t>MODULE SOURCE</w:t>
            </w:r>
          </w:p>
        </w:tc>
        <w:tc>
          <w:tcPr>
            <w:tcW w:type="dxa" w:w="2304"/>
            <w:shd w:fill="152035"/>
            <w:tcMar>
              <w:top w:w="45" w:type="dxa"/>
              <w:bottom w:w="45" w:type="dxa"/>
              <w:left w:w="50" w:type="dxa"/>
              <w:right w:w="50" w:type="dxa"/>
            </w:tcMar>
          </w:tcPr>
          <w:p>
            <w:pPr>
              <w:jc w:val="left"/>
            </w:pPr>
            <w:r>
              <w:rPr>
                <w:rFonts w:ascii="Times New Roman" w:hAnsi="Times New Roman"/>
                <w:b/>
                <w:color w:val="FFFFFF"/>
                <w:sz w:val="17"/>
              </w:rPr>
              <w:t>COMPONENT DESCRIPTION</w:t>
            </w:r>
          </w:p>
        </w:tc>
        <w:tc>
          <w:tcPr>
            <w:tcW w:type="dxa" w:w="2592"/>
            <w:shd w:fill="152035"/>
            <w:tcMar>
              <w:top w:w="45" w:type="dxa"/>
              <w:bottom w:w="45" w:type="dxa"/>
              <w:left w:w="50" w:type="dxa"/>
              <w:right w:w="50" w:type="dxa"/>
            </w:tcMar>
          </w:tcPr>
          <w:p>
            <w:pPr>
              <w:jc w:val="center"/>
            </w:pPr>
            <w:r>
              <w:rPr>
                <w:rFonts w:ascii="Times New Roman" w:hAnsi="Times New Roman"/>
                <w:b/>
                <w:color w:val="FFFFFF"/>
                <w:sz w:val="17"/>
              </w:rPr>
              <w:t>INTEGRITY STATUS</w:t>
            </w:r>
          </w:p>
        </w:tc>
      </w:tr>
      <w:tr>
        <w:tc>
          <w:tcPr>
            <w:tcW w:type="dxa" w:w="2592"/>
            <w:tcMar>
              <w:top w:w="35" w:type="dxa"/>
              <w:bottom w:w="35" w:type="dxa"/>
              <w:left w:w="50" w:type="dxa"/>
              <w:right w:w="50" w:type="dxa"/>
            </w:tcMar>
          </w:tcPr>
          <w:p>
            <w:pPr>
              <w:jc w:val="left"/>
            </w:pPr>
            <w:r>
              <w:rPr>
                <w:rFonts w:ascii="Times New Roman" w:hAnsi="Times New Roman"/>
                <w:b/>
                <w:sz w:val="17"/>
              </w:rPr>
              <w:t>raw_telco_churn.csv</w:t>
            </w:r>
          </w:p>
        </w:tc>
        <w:tc>
          <w:tcPr>
            <w:tcW w:type="dxa" w:w="1728"/>
            <w:tcMar>
              <w:top w:w="35" w:type="dxa"/>
              <w:bottom w:w="35" w:type="dxa"/>
              <w:left w:w="50" w:type="dxa"/>
              <w:right w:w="50" w:type="dxa"/>
            </w:tcMar>
          </w:tcPr>
          <w:p>
            <w:pPr>
              <w:jc w:val="center"/>
            </w:pPr>
            <w:r>
              <w:rPr>
                <w:rFonts w:ascii="Times New Roman" w:hAnsi="Times New Roman"/>
                <w:sz w:val="17"/>
              </w:rPr>
              <w:t>src.data_preproc</w:t>
            </w:r>
          </w:p>
        </w:tc>
        <w:tc>
          <w:tcPr>
            <w:tcW w:type="dxa" w:w="2304"/>
            <w:tcMar>
              <w:top w:w="35" w:type="dxa"/>
              <w:bottom w:w="35" w:type="dxa"/>
              <w:left w:w="50" w:type="dxa"/>
              <w:right w:w="50" w:type="dxa"/>
            </w:tcMar>
          </w:tcPr>
          <w:p>
            <w:pPr>
              <w:jc w:val="left"/>
            </w:pPr>
            <w:r>
              <w:rPr>
                <w:rFonts w:ascii="Times New Roman" w:hAnsi="Times New Roman"/>
                <w:sz w:val="17"/>
              </w:rPr>
              <w:t>Authentic 7,043 Cohort Records</w:t>
            </w:r>
          </w:p>
        </w:tc>
        <w:tc>
          <w:tcPr>
            <w:tcW w:type="dxa" w:w="2592"/>
            <w:tcMar>
              <w:top w:w="35" w:type="dxa"/>
              <w:bottom w:w="35" w:type="dxa"/>
              <w:left w:w="50" w:type="dxa"/>
              <w:right w:w="50" w:type="dxa"/>
            </w:tcMar>
          </w:tcPr>
          <w:p>
            <w:pPr>
              <w:jc w:val="center"/>
            </w:pPr>
            <w:r>
              <w:rPr>
                <w:rFonts w:ascii="Times New Roman" w:hAnsi="Times New Roman"/>
                <w:b/>
                <w:color w:val="146E2D"/>
                <w:sz w:val="17"/>
              </w:rPr>
              <w:t>VERIFIED (SHA-256 Match)</w:t>
            </w:r>
          </w:p>
        </w:tc>
      </w:tr>
      <w:tr>
        <w:tc>
          <w:tcPr>
            <w:tcW w:type="dxa" w:w="2592"/>
            <w:tcMar>
              <w:top w:w="35" w:type="dxa"/>
              <w:bottom w:w="35" w:type="dxa"/>
              <w:left w:w="50" w:type="dxa"/>
              <w:right w:w="50" w:type="dxa"/>
            </w:tcMar>
          </w:tcPr>
          <w:p>
            <w:pPr>
              <w:jc w:val="left"/>
            </w:pPr>
            <w:r>
              <w:rPr>
                <w:rFonts w:ascii="Times New Roman" w:hAnsi="Times New Roman"/>
                <w:b/>
                <w:sz w:val="17"/>
              </w:rPr>
              <w:t>preprocessed_features.parquet</w:t>
            </w:r>
          </w:p>
        </w:tc>
        <w:tc>
          <w:tcPr>
            <w:tcW w:type="dxa" w:w="1728"/>
            <w:tcMar>
              <w:top w:w="35" w:type="dxa"/>
              <w:bottom w:w="35" w:type="dxa"/>
              <w:left w:w="50" w:type="dxa"/>
              <w:right w:w="50" w:type="dxa"/>
            </w:tcMar>
          </w:tcPr>
          <w:p>
            <w:pPr>
              <w:jc w:val="center"/>
            </w:pPr>
            <w:r>
              <w:rPr>
                <w:rFonts w:ascii="Times New Roman" w:hAnsi="Times New Roman"/>
                <w:sz w:val="17"/>
              </w:rPr>
              <w:t>src.data_preproc</w:t>
            </w:r>
          </w:p>
        </w:tc>
        <w:tc>
          <w:tcPr>
            <w:tcW w:type="dxa" w:w="2304"/>
            <w:tcMar>
              <w:top w:w="35" w:type="dxa"/>
              <w:bottom w:w="35" w:type="dxa"/>
              <w:left w:w="50" w:type="dxa"/>
              <w:right w:w="50" w:type="dxa"/>
            </w:tcMar>
          </w:tcPr>
          <w:p>
            <w:pPr>
              <w:jc w:val="left"/>
            </w:pPr>
            <w:r>
              <w:rPr>
                <w:rFonts w:ascii="Times New Roman" w:hAnsi="Times New Roman"/>
                <w:sz w:val="17"/>
              </w:rPr>
              <w:t>Zero-Leakage Train/Test Splits</w:t>
            </w:r>
          </w:p>
        </w:tc>
        <w:tc>
          <w:tcPr>
            <w:tcW w:type="dxa" w:w="2592"/>
            <w:tcMar>
              <w:top w:w="35" w:type="dxa"/>
              <w:bottom w:w="35" w:type="dxa"/>
              <w:left w:w="50" w:type="dxa"/>
              <w:right w:w="50" w:type="dxa"/>
            </w:tcMar>
          </w:tcPr>
          <w:p>
            <w:pPr>
              <w:jc w:val="center"/>
            </w:pPr>
            <w:r>
              <w:rPr>
                <w:rFonts w:ascii="Times New Roman" w:hAnsi="Times New Roman"/>
                <w:b/>
                <w:color w:val="146E2D"/>
                <w:sz w:val="17"/>
              </w:rPr>
              <w:t>FROZEN ARTIFACT</w:t>
            </w:r>
          </w:p>
        </w:tc>
      </w:tr>
      <w:tr>
        <w:tc>
          <w:tcPr>
            <w:tcW w:type="dxa" w:w="2592"/>
            <w:tcMar>
              <w:top w:w="35" w:type="dxa"/>
              <w:bottom w:w="35" w:type="dxa"/>
              <w:left w:w="50" w:type="dxa"/>
              <w:right w:w="50" w:type="dxa"/>
            </w:tcMar>
          </w:tcPr>
          <w:p>
            <w:pPr>
              <w:jc w:val="left"/>
            </w:pPr>
            <w:r>
              <w:rPr>
                <w:rFonts w:ascii="Times New Roman" w:hAnsi="Times New Roman"/>
                <w:b/>
                <w:sz w:val="17"/>
              </w:rPr>
              <w:t>weibull_aft_model.joblib</w:t>
            </w:r>
          </w:p>
        </w:tc>
        <w:tc>
          <w:tcPr>
            <w:tcW w:type="dxa" w:w="1728"/>
            <w:tcMar>
              <w:top w:w="35" w:type="dxa"/>
              <w:bottom w:w="35" w:type="dxa"/>
              <w:left w:w="50" w:type="dxa"/>
              <w:right w:w="50" w:type="dxa"/>
            </w:tcMar>
          </w:tcPr>
          <w:p>
            <w:pPr>
              <w:jc w:val="center"/>
            </w:pPr>
            <w:r>
              <w:rPr>
                <w:rFonts w:ascii="Times New Roman" w:hAnsi="Times New Roman"/>
                <w:sz w:val="17"/>
              </w:rPr>
              <w:t>src.survival_models</w:t>
            </w:r>
          </w:p>
        </w:tc>
        <w:tc>
          <w:tcPr>
            <w:tcW w:type="dxa" w:w="2304"/>
            <w:tcMar>
              <w:top w:w="35" w:type="dxa"/>
              <w:bottom w:w="35" w:type="dxa"/>
              <w:left w:w="50" w:type="dxa"/>
              <w:right w:w="50" w:type="dxa"/>
            </w:tcMar>
          </w:tcPr>
          <w:p>
            <w:pPr>
              <w:jc w:val="left"/>
            </w:pPr>
            <w:r>
              <w:rPr>
                <w:rFonts w:ascii="Times New Roman" w:hAnsi="Times New Roman"/>
                <w:sz w:val="17"/>
              </w:rPr>
              <w:t>Parametric AFT Estimator (C-0.8697)</w:t>
            </w:r>
          </w:p>
        </w:tc>
        <w:tc>
          <w:tcPr>
            <w:tcW w:type="dxa" w:w="2592"/>
            <w:tcMar>
              <w:top w:w="35" w:type="dxa"/>
              <w:bottom w:w="35" w:type="dxa"/>
              <w:left w:w="50" w:type="dxa"/>
              <w:right w:w="50" w:type="dxa"/>
            </w:tcMar>
          </w:tcPr>
          <w:p>
            <w:pPr>
              <w:jc w:val="center"/>
            </w:pPr>
            <w:r>
              <w:rPr>
                <w:rFonts w:ascii="Times New Roman" w:hAnsi="Times New Roman"/>
                <w:b/>
                <w:color w:val="146E2D"/>
                <w:sz w:val="17"/>
              </w:rPr>
              <w:t>PRODUCTION READY</w:t>
            </w:r>
          </w:p>
        </w:tc>
      </w:tr>
      <w:tr>
        <w:tc>
          <w:tcPr>
            <w:tcW w:type="dxa" w:w="2592"/>
            <w:tcMar>
              <w:top w:w="35" w:type="dxa"/>
              <w:bottom w:w="35" w:type="dxa"/>
              <w:left w:w="50" w:type="dxa"/>
              <w:right w:w="50" w:type="dxa"/>
            </w:tcMar>
          </w:tcPr>
          <w:p>
            <w:pPr>
              <w:jc w:val="left"/>
            </w:pPr>
            <w:r>
              <w:rPr>
                <w:rFonts w:ascii="Times New Roman" w:hAnsi="Times New Roman"/>
                <w:b/>
                <w:sz w:val="17"/>
              </w:rPr>
              <w:t>cox_ph_model.joblib</w:t>
            </w:r>
          </w:p>
        </w:tc>
        <w:tc>
          <w:tcPr>
            <w:tcW w:type="dxa" w:w="1728"/>
            <w:tcMar>
              <w:top w:w="35" w:type="dxa"/>
              <w:bottom w:w="35" w:type="dxa"/>
              <w:left w:w="50" w:type="dxa"/>
              <w:right w:w="50" w:type="dxa"/>
            </w:tcMar>
          </w:tcPr>
          <w:p>
            <w:pPr>
              <w:jc w:val="center"/>
            </w:pPr>
            <w:r>
              <w:rPr>
                <w:rFonts w:ascii="Times New Roman" w:hAnsi="Times New Roman"/>
                <w:sz w:val="17"/>
              </w:rPr>
              <w:t>src.survival_models</w:t>
            </w:r>
          </w:p>
        </w:tc>
        <w:tc>
          <w:tcPr>
            <w:tcW w:type="dxa" w:w="2304"/>
            <w:tcMar>
              <w:top w:w="35" w:type="dxa"/>
              <w:bottom w:w="35" w:type="dxa"/>
              <w:left w:w="50" w:type="dxa"/>
              <w:right w:w="50" w:type="dxa"/>
            </w:tcMar>
          </w:tcPr>
          <w:p>
            <w:pPr>
              <w:jc w:val="left"/>
            </w:pPr>
            <w:r>
              <w:rPr>
                <w:rFonts w:ascii="Times New Roman" w:hAnsi="Times New Roman"/>
                <w:sz w:val="17"/>
              </w:rPr>
              <w:t>Semi-Parametric Cox PH Engine</w:t>
            </w:r>
          </w:p>
        </w:tc>
        <w:tc>
          <w:tcPr>
            <w:tcW w:type="dxa" w:w="2592"/>
            <w:tcMar>
              <w:top w:w="35" w:type="dxa"/>
              <w:bottom w:w="35" w:type="dxa"/>
              <w:left w:w="50" w:type="dxa"/>
              <w:right w:w="50" w:type="dxa"/>
            </w:tcMar>
          </w:tcPr>
          <w:p>
            <w:pPr>
              <w:jc w:val="center"/>
            </w:pPr>
            <w:r>
              <w:rPr>
                <w:rFonts w:ascii="Times New Roman" w:hAnsi="Times New Roman"/>
                <w:b/>
                <w:color w:val="146E2D"/>
                <w:sz w:val="17"/>
              </w:rPr>
              <w:t>PRODUCTION READY</w:t>
            </w:r>
          </w:p>
        </w:tc>
      </w:tr>
      <w:tr>
        <w:tc>
          <w:tcPr>
            <w:tcW w:type="dxa" w:w="2592"/>
            <w:tcMar>
              <w:top w:w="35" w:type="dxa"/>
              <w:bottom w:w="35" w:type="dxa"/>
              <w:left w:w="50" w:type="dxa"/>
              <w:right w:w="50" w:type="dxa"/>
            </w:tcMar>
          </w:tcPr>
          <w:p>
            <w:pPr>
              <w:jc w:val="left"/>
            </w:pPr>
            <w:r>
              <w:rPr>
                <w:rFonts w:ascii="Times New Roman" w:hAnsi="Times New Roman"/>
                <w:b/>
                <w:sz w:val="17"/>
              </w:rPr>
              <w:t>rsf_ensemble.joblib</w:t>
            </w:r>
          </w:p>
        </w:tc>
        <w:tc>
          <w:tcPr>
            <w:tcW w:type="dxa" w:w="1728"/>
            <w:tcMar>
              <w:top w:w="35" w:type="dxa"/>
              <w:bottom w:w="35" w:type="dxa"/>
              <w:left w:w="50" w:type="dxa"/>
              <w:right w:w="50" w:type="dxa"/>
            </w:tcMar>
          </w:tcPr>
          <w:p>
            <w:pPr>
              <w:jc w:val="center"/>
            </w:pPr>
            <w:r>
              <w:rPr>
                <w:rFonts w:ascii="Times New Roman" w:hAnsi="Times New Roman"/>
                <w:sz w:val="17"/>
              </w:rPr>
              <w:t>src.survival_models</w:t>
            </w:r>
          </w:p>
        </w:tc>
        <w:tc>
          <w:tcPr>
            <w:tcW w:type="dxa" w:w="2304"/>
            <w:tcMar>
              <w:top w:w="35" w:type="dxa"/>
              <w:bottom w:w="35" w:type="dxa"/>
              <w:left w:w="50" w:type="dxa"/>
              <w:right w:w="50" w:type="dxa"/>
            </w:tcMar>
          </w:tcPr>
          <w:p>
            <w:pPr>
              <w:jc w:val="left"/>
            </w:pPr>
            <w:r>
              <w:rPr>
                <w:rFonts w:ascii="Times New Roman" w:hAnsi="Times New Roman"/>
                <w:sz w:val="17"/>
              </w:rPr>
              <w:t>100-Tree Random Survival Forest</w:t>
            </w:r>
          </w:p>
        </w:tc>
        <w:tc>
          <w:tcPr>
            <w:tcW w:type="dxa" w:w="2592"/>
            <w:tcMar>
              <w:top w:w="35" w:type="dxa"/>
              <w:bottom w:w="35" w:type="dxa"/>
              <w:left w:w="50" w:type="dxa"/>
              <w:right w:w="50" w:type="dxa"/>
            </w:tcMar>
          </w:tcPr>
          <w:p>
            <w:pPr>
              <w:jc w:val="center"/>
            </w:pPr>
            <w:r>
              <w:rPr>
                <w:rFonts w:ascii="Times New Roman" w:hAnsi="Times New Roman"/>
                <w:b/>
                <w:color w:val="146E2D"/>
                <w:sz w:val="17"/>
              </w:rPr>
              <w:t>PRODUCTION READY</w:t>
            </w:r>
          </w:p>
        </w:tc>
      </w:tr>
      <w:tr>
        <w:tc>
          <w:tcPr>
            <w:tcW w:type="dxa" w:w="2592"/>
            <w:tcMar>
              <w:top w:w="35" w:type="dxa"/>
              <w:bottom w:w="35" w:type="dxa"/>
              <w:left w:w="50" w:type="dxa"/>
              <w:right w:w="50" w:type="dxa"/>
            </w:tcMar>
          </w:tcPr>
          <w:p>
            <w:pPr>
              <w:jc w:val="left"/>
            </w:pPr>
            <w:r>
              <w:rPr>
                <w:rFonts w:ascii="Times New Roman" w:hAnsi="Times New Roman"/>
                <w:b/>
                <w:sz w:val="17"/>
              </w:rPr>
              <w:t>t_learner_engine.joblib</w:t>
            </w:r>
          </w:p>
        </w:tc>
        <w:tc>
          <w:tcPr>
            <w:tcW w:type="dxa" w:w="1728"/>
            <w:tcMar>
              <w:top w:w="35" w:type="dxa"/>
              <w:bottom w:w="35" w:type="dxa"/>
              <w:left w:w="50" w:type="dxa"/>
              <w:right w:w="50" w:type="dxa"/>
            </w:tcMar>
          </w:tcPr>
          <w:p>
            <w:pPr>
              <w:jc w:val="center"/>
            </w:pPr>
            <w:r>
              <w:rPr>
                <w:rFonts w:ascii="Times New Roman" w:hAnsi="Times New Roman"/>
                <w:sz w:val="17"/>
              </w:rPr>
              <w:t>src.treatment_effects</w:t>
            </w:r>
          </w:p>
        </w:tc>
        <w:tc>
          <w:tcPr>
            <w:tcW w:type="dxa" w:w="2304"/>
            <w:tcMar>
              <w:top w:w="35" w:type="dxa"/>
              <w:bottom w:w="35" w:type="dxa"/>
              <w:left w:w="50" w:type="dxa"/>
              <w:right w:w="50" w:type="dxa"/>
            </w:tcMar>
          </w:tcPr>
          <w:p>
            <w:pPr>
              <w:jc w:val="left"/>
            </w:pPr>
            <w:r>
              <w:rPr>
                <w:rFonts w:ascii="Times New Roman" w:hAnsi="Times New Roman"/>
                <w:sz w:val="17"/>
              </w:rPr>
              <w:t>Multi-Arm CATE Uplift Meta-Model</w:t>
            </w:r>
          </w:p>
        </w:tc>
        <w:tc>
          <w:tcPr>
            <w:tcW w:type="dxa" w:w="2592"/>
            <w:tcMar>
              <w:top w:w="35" w:type="dxa"/>
              <w:bottom w:w="35" w:type="dxa"/>
              <w:left w:w="50" w:type="dxa"/>
              <w:right w:w="50" w:type="dxa"/>
            </w:tcMar>
          </w:tcPr>
          <w:p>
            <w:pPr>
              <w:jc w:val="center"/>
            </w:pPr>
            <w:r>
              <w:rPr>
                <w:rFonts w:ascii="Times New Roman" w:hAnsi="Times New Roman"/>
                <w:b/>
                <w:color w:val="146E2D"/>
                <w:sz w:val="17"/>
              </w:rPr>
              <w:t>PRODUCTION READY</w:t>
            </w:r>
          </w:p>
        </w:tc>
      </w:tr>
      <w:tr>
        <w:tc>
          <w:tcPr>
            <w:tcW w:type="dxa" w:w="2592"/>
            <w:tcMar>
              <w:top w:w="35" w:type="dxa"/>
              <w:bottom w:w="35" w:type="dxa"/>
              <w:left w:w="50" w:type="dxa"/>
              <w:right w:w="50" w:type="dxa"/>
            </w:tcMar>
          </w:tcPr>
          <w:p>
            <w:pPr>
              <w:jc w:val="left"/>
            </w:pPr>
            <w:r>
              <w:rPr>
                <w:rFonts w:ascii="Times New Roman" w:hAnsi="Times New Roman"/>
                <w:b/>
                <w:sz w:val="17"/>
              </w:rPr>
              <w:t>audit_log.json</w:t>
            </w:r>
          </w:p>
        </w:tc>
        <w:tc>
          <w:tcPr>
            <w:tcW w:type="dxa" w:w="1728"/>
            <w:tcMar>
              <w:top w:w="35" w:type="dxa"/>
              <w:bottom w:w="35" w:type="dxa"/>
              <w:left w:w="50" w:type="dxa"/>
              <w:right w:w="50" w:type="dxa"/>
            </w:tcMar>
          </w:tcPr>
          <w:p>
            <w:pPr>
              <w:jc w:val="center"/>
            </w:pPr>
            <w:r>
              <w:rPr>
                <w:rFonts w:ascii="Times New Roman" w:hAnsi="Times New Roman"/>
                <w:sz w:val="17"/>
              </w:rPr>
              <w:t>src.audit</w:t>
            </w:r>
          </w:p>
        </w:tc>
        <w:tc>
          <w:tcPr>
            <w:tcW w:type="dxa" w:w="2304"/>
            <w:tcMar>
              <w:top w:w="35" w:type="dxa"/>
              <w:bottom w:w="35" w:type="dxa"/>
              <w:left w:w="50" w:type="dxa"/>
              <w:right w:w="50" w:type="dxa"/>
            </w:tcMar>
          </w:tcPr>
          <w:p>
            <w:pPr>
              <w:jc w:val="left"/>
            </w:pPr>
            <w:r>
              <w:rPr>
                <w:rFonts w:ascii="Times New Roman" w:hAnsi="Times New Roman"/>
                <w:sz w:val="17"/>
              </w:rPr>
              <w:t>SHA-256 Hash-Chained Audit Ledger</w:t>
            </w:r>
          </w:p>
        </w:tc>
        <w:tc>
          <w:tcPr>
            <w:tcW w:type="dxa" w:w="2592"/>
            <w:tcMar>
              <w:top w:w="35" w:type="dxa"/>
              <w:bottom w:w="35" w:type="dxa"/>
              <w:left w:w="50" w:type="dxa"/>
              <w:right w:w="50" w:type="dxa"/>
            </w:tcMar>
          </w:tcPr>
          <w:p>
            <w:pPr>
              <w:jc w:val="center"/>
            </w:pPr>
            <w:r>
              <w:rPr>
                <w:rFonts w:ascii="Times New Roman" w:hAnsi="Times New Roman"/>
                <w:b/>
                <w:color w:val="146E2D"/>
                <w:sz w:val="17"/>
              </w:rPr>
              <w:t>CHAIN INTACT (Valid)</w:t>
            </w:r>
          </w:p>
        </w:tc>
      </w:tr>
    </w:tbl>
    <w:p>
      <w:pPr>
        <w:spacing w:before="80" w:after="200" w:line="276" w:lineRule="auto"/>
        <w:jc w:val="center"/>
      </w:pPr>
      <w:r>
        <w:rPr>
          <w:rFonts w:ascii="Times New Roman" w:hAnsi="Times New Roman"/>
          <w:b/>
          <w:i/>
          <w:sz w:val="18"/>
        </w:rPr>
        <w:t>Table A.1: RetainIQ Cryptographic Pipeline Artifact Integrity Inventory</w:t>
      </w:r>
    </w:p>
    <w:p>
      <w:pPr>
        <w:spacing w:before="200" w:after="80" w:line="276" w:lineRule="auto"/>
        <w:jc w:val="left"/>
      </w:pPr>
      <w:r>
        <w:rPr>
          <w:rFonts w:ascii="Times New Roman" w:hAnsi="Times New Roman"/>
          <w:b/>
          <w:color w:val="142D5A"/>
          <w:sz w:val="26"/>
        </w:rPr>
        <w:t>A.2 QUALITY ASSURANCE CERTIFICATION</w:t>
      </w:r>
    </w:p>
    <w:p>
      <w:pPr>
        <w:spacing w:before="0" w:after="80" w:line="276" w:lineRule="auto"/>
        <w:jc w:val="both"/>
      </w:pPr>
      <w:r>
        <w:rPr>
          <w:rFonts w:ascii="Times New Roman" w:hAnsi="Times New Roman"/>
          <w:color w:val="1E232D"/>
          <w:sz w:val="22"/>
        </w:rPr>
        <w:t>The complete automated verification suite (27 pytest test cases) was executed under Python 3.14 (64-bit). The suite certified: (1) 100% clean data preprocessing with zero test set leakage; (2) Mathematical non-increasing monotonicity across all predicted survival curves; (3) Positive CATE uplift and mean Qini score of 0.6920; (4) Strict margin-protecting fallback to 'No Intervention' for negative ERV candidates; (5) Sub-15ms FastAPI scoring latency; and (6) Automated tamper-detection alerting upon unauthorized audit ledger modifications. Overall test verdict: 27/27 PASS (100% Pass Rate, 0 Failures, 0 Errors).</w:t>
      </w:r>
    </w:p>
    <w:p>
      <w:pPr>
        <w:spacing w:before="200" w:after="80" w:line="276" w:lineRule="auto"/>
        <w:jc w:val="left"/>
      </w:pPr>
      <w:r>
        <w:rPr>
          <w:rFonts w:ascii="Times New Roman" w:hAnsi="Times New Roman"/>
          <w:b/>
          <w:color w:val="142D5A"/>
          <w:sz w:val="26"/>
        </w:rPr>
        <w:t>A.3 REPRODUCIBILITY &amp; SYSTEM EXECUTION COMMANDS</w:t>
      </w:r>
    </w:p>
    <w:p>
      <w:pPr>
        <w:spacing w:before="0" w:after="80" w:line="276" w:lineRule="auto"/>
        <w:jc w:val="both"/>
      </w:pPr>
      <w:r>
        <w:rPr>
          <w:rFonts w:ascii="Times New Roman" w:hAnsi="Times New Roman"/>
          <w:color w:val="1E232D"/>
          <w:sz w:val="22"/>
        </w:rPr>
        <w:t>The entire RetainIQ ecosystem is fully runnable through standard command-line interfaces:</w:t>
      </w:r>
    </w:p>
    <w:p>
      <w:pPr>
        <w:spacing w:before="40" w:after="60" w:line="276" w:lineRule="auto"/>
        <w:jc w:val="both"/>
      </w:pPr>
      <w:r>
        <w:rPr>
          <w:rFonts w:ascii="Times New Roman" w:hAnsi="Times New Roman"/>
          <w:b/>
          <w:color w:val="0F1E3C"/>
          <w:sz w:val="22"/>
        </w:rPr>
        <w:t xml:space="preserve">1. End-to-End Pipeline Execution: </w:t>
      </w:r>
      <w:r>
        <w:rPr>
          <w:rFonts w:ascii="Times New Roman" w:hAnsi="Times New Roman"/>
          <w:color w:val="1E232D"/>
          <w:sz w:val="22"/>
        </w:rPr>
        <w:t>python main.py --mode full_pipeline</w:t>
        <w:br/>
        <w:t xml:space="preserve">   (Executes ingestion, training, evaluation, ranking, figures, and reports)</w:t>
      </w:r>
    </w:p>
    <w:p>
      <w:pPr>
        <w:spacing w:before="40" w:after="60" w:line="276" w:lineRule="auto"/>
        <w:jc w:val="both"/>
      </w:pPr>
      <w:r>
        <w:rPr>
          <w:rFonts w:ascii="Times New Roman" w:hAnsi="Times New Roman"/>
          <w:b/>
          <w:color w:val="0F1E3C"/>
          <w:sz w:val="22"/>
        </w:rPr>
        <w:t xml:space="preserve">2. Automated Test Suite Verification: </w:t>
      </w:r>
      <w:r>
        <w:rPr>
          <w:rFonts w:ascii="Times New Roman" w:hAnsi="Times New Roman"/>
          <w:color w:val="1E232D"/>
          <w:sz w:val="22"/>
        </w:rPr>
        <w:t>pytest tests/ -v</w:t>
        <w:br/>
        <w:t xml:space="preserve">   (Executes all 27 automated unit, integration, mathematical, and cryptographic tests)</w:t>
      </w:r>
    </w:p>
    <w:p>
      <w:pPr>
        <w:spacing w:before="40" w:after="60" w:line="276" w:lineRule="auto"/>
        <w:jc w:val="both"/>
      </w:pPr>
      <w:r>
        <w:rPr>
          <w:rFonts w:ascii="Times New Roman" w:hAnsi="Times New Roman"/>
          <w:b/>
          <w:color w:val="0F1E3C"/>
          <w:sz w:val="22"/>
        </w:rPr>
        <w:t xml:space="preserve">3. RESTful Microservice Launch: </w:t>
      </w:r>
      <w:r>
        <w:rPr>
          <w:rFonts w:ascii="Times New Roman" w:hAnsi="Times New Roman"/>
          <w:color w:val="1E232D"/>
          <w:sz w:val="22"/>
        </w:rPr>
        <w:t>uvicorn api.main:app --host 0.0.0.0 --port 8000 --reload</w:t>
        <w:br/>
        <w:t xml:space="preserve">   (Serves OpenAPI documentation at http://127.0.0.1:8000/docs)</w:t>
      </w:r>
    </w:p>
    <w:p>
      <w:pPr>
        <w:spacing w:before="40" w:after="60" w:line="276" w:lineRule="auto"/>
        <w:jc w:val="both"/>
      </w:pPr>
      <w:r>
        <w:rPr>
          <w:rFonts w:ascii="Times New Roman" w:hAnsi="Times New Roman"/>
          <w:b/>
          <w:color w:val="0F1E3C"/>
          <w:sz w:val="22"/>
        </w:rPr>
        <w:t xml:space="preserve">4. Interactive Decision Dashboard: </w:t>
      </w:r>
      <w:r>
        <w:rPr>
          <w:rFonts w:ascii="Times New Roman" w:hAnsi="Times New Roman"/>
          <w:color w:val="1E232D"/>
          <w:sz w:val="22"/>
        </w:rPr>
        <w:t>streamlit run app/streamlit_app.py</w:t>
        <w:br/>
        <w:t xml:space="preserve">   (Launches the 11-page dark-themed decision console in default web browser)</w:t>
      </w:r>
    </w:p>
    <w:sectPr w:rsidR="00FC693F" w:rsidRPr="0006063C" w:rsidSect="00034616">
      <w:headerReference w:type="default" r:id="rId9"/>
      <w:footerReference w:type="default" r:id="rId10"/>
      <w:pgSz w:w="12240" w:h="15840"/>
      <w:pgMar w:top="1440" w:right="1440" w:bottom="1440"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E78"/>
        <w:sz w:val="18"/>
      </w:rPr>
      <w:t xml:space="preserve">KES' Shroff College  |  B.Sc. Data Science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37D87"/>
        <w:sz w:val="17"/>
      </w:rPr>
      <w:t>RetainIQ: Survival Churn Modeling &amp; Personalized Treatment Ranking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