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color w:val="0F1E41"/>
          <w:sz w:val="26"/>
        </w:rPr>
        <w:t>Kandivli Education Society's</w:t>
        <w:br/>
      </w:r>
      <w:r>
        <w:rPr>
          <w:rFonts w:ascii="Times New Roman" w:hAnsi="Times New Roman"/>
          <w:b/>
          <w:color w:val="0F1E41"/>
          <w:sz w:val="30"/>
        </w:rPr>
        <w:t>BK Shroff College of Arts &amp; MH Shroff College of Commerce</w:t>
        <w:br/>
      </w:r>
      <w:r>
        <w:rPr>
          <w:rFonts w:ascii="Times New Roman" w:hAnsi="Times New Roman"/>
          <w:color w:val="46505F"/>
          <w:sz w:val="20"/>
        </w:rPr>
        <w:t>(Autonomous College | NAAC Re-accredited 'A' Grade | ISO 9001:2015 Certified)</w:t>
        <w:br/>
        <w:t>Bhulabhai Patel Road, Kandivali (West), Mumbai - 400067</w:t>
      </w:r>
    </w:p>
    <w:p>
      <w:pPr>
        <w:spacing w:before="300" w:after="300" w:line="276" w:lineRule="auto"/>
        <w:jc w:val="center"/>
      </w:pPr>
      <w:r>
        <w:rPr>
          <w:color w:val="B4BEC8"/>
        </w:rPr>
        <w:t>——————————————————————————————————————</w:t>
      </w:r>
    </w:p>
    <w:p>
      <w:pPr>
        <w:spacing w:before="200" w:after="120" w:line="276" w:lineRule="auto"/>
        <w:jc w:val="center"/>
      </w:pPr>
      <w:r>
        <w:rPr>
          <w:rFonts w:ascii="Times New Roman" w:hAnsi="Times New Roman"/>
          <w:b/>
          <w:color w:val="646E7D"/>
          <w:sz w:val="24"/>
        </w:rPr>
        <w:t>A CAPSTONE PROJECT REPORT ON</w:t>
        <w:br/>
      </w:r>
    </w:p>
    <w:p>
      <w:pPr>
        <w:spacing w:before="240" w:after="160" w:line="276" w:lineRule="auto"/>
        <w:jc w:val="center"/>
      </w:pPr>
      <w:r>
        <w:rPr>
          <w:rFonts w:ascii="Times New Roman" w:hAnsi="Times New Roman"/>
          <w:b/>
          <w:color w:val="0F234B"/>
          <w:sz w:val="36"/>
        </w:rPr>
        <w:t>SURVIVAL-BASED CHURN MODELING WITH PERSONALIZED RETENTION TREATMENT RANKING</w:t>
      </w:r>
    </w:p>
    <w:p>
      <w:pPr>
        <w:spacing w:before="80" w:after="400" w:line="276" w:lineRule="auto"/>
        <w:jc w:val="center"/>
      </w:pPr>
      <w:r>
        <w:rPr>
          <w:rFonts w:ascii="Times New Roman" w:hAnsi="Times New Roman"/>
          <w:i/>
          <w:color w:val="283C5A"/>
          <w:sz w:val="24"/>
        </w:rPr>
        <w:t>(RetainIQ  |  Project ID: BDS-11)</w:t>
      </w:r>
    </w:p>
    <w:p>
      <w:pPr>
        <w:spacing w:before="200" w:after="80" w:line="276" w:lineRule="auto"/>
        <w:jc w:val="center"/>
      </w:pPr>
      <w:r>
        <w:rPr>
          <w:rFonts w:ascii="Times New Roman" w:hAnsi="Times New Roman"/>
          <w:color w:val="505A64"/>
          <w:sz w:val="21"/>
        </w:rPr>
        <w:t>SUBMITTED IN PARTIAL FULFILLMENT OF THE REQUIREMENTS</w:t>
        <w:br/>
        <w:t>FOR THE DEGREE OF</w:t>
        <w:br/>
      </w:r>
      <w:r>
        <w:rPr>
          <w:rFonts w:ascii="Times New Roman" w:hAnsi="Times New Roman"/>
          <w:b/>
          <w:color w:val="141E32"/>
          <w:sz w:val="26"/>
        </w:rPr>
        <w:t>BACHELOR OF SCIENCE (DATA SCIENCE)</w:t>
      </w:r>
    </w:p>
    <w:p>
      <w:pPr>
        <w:spacing w:before="500" w:after="80" w:line="276" w:lineRule="auto"/>
        <w:jc w:val="center"/>
      </w:pPr>
      <w:r>
        <w:rPr>
          <w:rFonts w:ascii="Times New Roman" w:hAnsi="Times New Roman"/>
          <w:b/>
          <w:color w:val="5A6473"/>
          <w:sz w:val="21"/>
        </w:rPr>
        <w:t>SUBMITTED BY</w:t>
        <w:br/>
      </w:r>
      <w:r>
        <w:rPr>
          <w:rFonts w:ascii="Times New Roman" w:hAnsi="Times New Roman"/>
          <w:b/>
          <w:color w:val="0F1E41"/>
          <w:sz w:val="28"/>
        </w:rPr>
        <w:t>MR. IVAN DSOUZA</w:t>
        <w:br/>
      </w:r>
      <w:r>
        <w:rPr>
          <w:rFonts w:ascii="Times New Roman" w:hAnsi="Times New Roman"/>
          <w:color w:val="323C4B"/>
          <w:sz w:val="22"/>
        </w:rPr>
        <w:t>Roll No.: TDDS013A  |  PRN: 2023016401824103</w:t>
        <w:br/>
        <w:t>T.Y. B.Sc. Data Science  |  Semester VI</w:t>
      </w:r>
    </w:p>
    <w:p>
      <w:pPr>
        <w:spacing w:before="440" w:after="80" w:line="276" w:lineRule="auto"/>
        <w:jc w:val="center"/>
      </w:pPr>
      <w:r>
        <w:rPr>
          <w:rFonts w:ascii="Times New Roman" w:hAnsi="Times New Roman"/>
          <w:b/>
          <w:color w:val="5A6473"/>
          <w:sz w:val="21"/>
        </w:rPr>
        <w:t>UNDER THE ESTEEMED GUIDANCE OF</w:t>
        <w:br/>
      </w:r>
      <w:r>
        <w:rPr>
          <w:rFonts w:ascii="Times New Roman" w:hAnsi="Times New Roman"/>
          <w:b/>
          <w:color w:val="141E32"/>
          <w:sz w:val="24"/>
        </w:rPr>
        <w:t>Mr./Ms. __________________________</w:t>
        <w:br/>
        <w:t>Department of Data Science &amp; Information Technology</w:t>
      </w:r>
    </w:p>
    <w:p>
      <w:pPr>
        <w:spacing w:before="600" w:after="0" w:line="276" w:lineRule="auto"/>
        <w:jc w:val="center"/>
      </w:pPr>
      <w:r>
        <w:rPr>
          <w:rFonts w:ascii="Times New Roman" w:hAnsi="Times New Roman"/>
          <w:b/>
          <w:color w:val="0F1E41"/>
          <w:sz w:val="24"/>
        </w:rPr>
        <w:t>ACADEMIC YEAR 2025 – 2026</w:t>
      </w:r>
    </w:p>
    <w:p>
      <w:r>
        <w:br w:type="page"/>
      </w:r>
    </w:p>
    <w:p>
      <w:pPr>
        <w:spacing w:before="300" w:after="80" w:line="276" w:lineRule="auto"/>
        <w:jc w:val="center"/>
      </w:pPr>
      <w:r>
        <w:rPr>
          <w:rFonts w:ascii="Times New Roman" w:hAnsi="Times New Roman"/>
          <w:b/>
          <w:color w:val="0F1E41"/>
          <w:sz w:val="26"/>
        </w:rPr>
        <w:t>Kandivli Education Society's</w:t>
        <w:br/>
        <w:t>BK Shroff College of Arts &amp; MH Shroff College of Commerce</w:t>
        <w:br/>
      </w:r>
      <w:r>
        <w:rPr>
          <w:rFonts w:ascii="Times New Roman" w:hAnsi="Times New Roman"/>
          <w:b/>
          <w:color w:val="283750"/>
          <w:sz w:val="22"/>
        </w:rPr>
        <w:t>Kandivali (West), Mumbai - 400067</w:t>
        <w:br/>
        <w:t>DEPARTMENT OF DATA SCIENCE</w:t>
      </w:r>
    </w:p>
    <w:p>
      <w:pPr>
        <w:spacing w:before="400" w:after="360" w:line="276" w:lineRule="auto"/>
        <w:jc w:val="center"/>
      </w:pPr>
      <w:r>
        <w:rPr>
          <w:rFonts w:ascii="Times New Roman" w:hAnsi="Times New Roman"/>
          <w:b/>
          <w:color w:val="0F1E41"/>
          <w:sz w:val="34"/>
          <w:u w:val="single"/>
        </w:rPr>
        <w:t>CERTIFICATE</w:t>
      </w:r>
    </w:p>
    <w:p>
      <w:pPr>
        <w:spacing w:before="160" w:after="240" w:line="288" w:lineRule="auto"/>
        <w:jc w:val="both"/>
      </w:pPr>
      <w:r>
        <w:rPr>
          <w:rFonts w:ascii="Times New Roman" w:hAnsi="Times New Roman"/>
          <w:color w:val="1E232D"/>
          <w:sz w:val="22"/>
        </w:rPr>
        <w:t>This is to certify that Mr. IVAN DSOUZA, a bonafide student of THIRD YEAR Bachelor of Science in DATA SCIENCE (Semester VI), Division: A, Roll No.: TDDS013A, has successfully completed the Capstone Project entitled 'SURVIVAL-BASED CHURN MODELING WITH PERSONALIZED RETENTION TREATMENT RANKING' (RetainIQ, Project ID: BDS-11) during the Academic Year 2025 – 2026, in partial fulfillment of the requirements for the award of the Degree of Bachelor of Science (Data Science) affiliated with the University of Mumbai, under the curriculum guidelines of KES' Shroff College of Arts &amp; Commerce (Autonomous).</w:t>
      </w:r>
    </w:p>
    <w:p>
      <w:pPr>
        <w:spacing w:before="80" w:after="800" w:line="288" w:lineRule="auto"/>
        <w:jc w:val="both"/>
      </w:pPr>
      <w:r>
        <w:rPr>
          <w:rFonts w:ascii="Times New Roman" w:hAnsi="Times New Roman"/>
          <w:color w:val="1E232D"/>
          <w:sz w:val="22"/>
        </w:rPr>
        <w:t>The project work incorporates original research, empirical survival analysis, heterogeneous treatment effect estimation, prescriptive decision optimization, cryptographic audit logging, automated unit/integration testing, and production web microservice deployment carried out under institutional supervision.</w:t>
      </w:r>
    </w:p>
    <w:tbl>
      <w:tblPr>
        <w:tblW w:type="auto" w:w="0"/>
        <w:jc w:val="center"/>
        <w:tblLayout w:type="fixed"/>
        <w:tblLook w:firstColumn="1" w:firstRow="1" w:lastColumn="0" w:lastRow="0" w:noHBand="0" w:noVBand="1" w:val="04A0"/>
      </w:tblPr>
      <w:tblGrid>
        <w:gridCol w:w="3072"/>
        <w:gridCol w:w="3072"/>
        <w:gridCol w:w="3072"/>
      </w:tblGrid>
      <w:tr>
        <w:tc>
          <w:tcPr>
            <w:tcW w:type="dxa" w:w="3024"/>
          </w:tcPr>
          <w:p>
            <w:pPr>
              <w:jc w:val="center"/>
            </w:pPr>
            <w:r>
              <w:rPr>
                <w:rFonts w:ascii="Times New Roman" w:hAnsi="Times New Roman"/>
                <w:color w:val="141E2D"/>
                <w:sz w:val="20"/>
              </w:rPr>
              <w:t>_____________________</w:t>
              <w:br/>
              <w:t>Mr./Ms. ____________________</w:t>
              <w:br/>
              <w:t>Project Guide</w:t>
              <w:br/>
              <w:t>Dept. of Data Science</w:t>
            </w:r>
          </w:p>
        </w:tc>
        <w:tc>
          <w:tcPr>
            <w:tcW w:type="dxa" w:w="3024"/>
          </w:tcPr>
          <w:p>
            <w:pPr>
              <w:jc w:val="center"/>
            </w:pPr>
            <w:r>
              <w:rPr>
                <w:rFonts w:ascii="Times New Roman" w:hAnsi="Times New Roman"/>
                <w:color w:val="141E2D"/>
                <w:sz w:val="20"/>
              </w:rPr>
              <w:t>_____________________</w:t>
              <w:br/>
              <w:t>Ms. Sweta Suman</w:t>
              <w:br/>
              <w:t>Teacher In-charge</w:t>
              <w:br/>
              <w:t>Coordinator, B.Sc. DS</w:t>
            </w:r>
          </w:p>
        </w:tc>
        <w:tc>
          <w:tcPr>
            <w:tcW w:type="dxa" w:w="3024"/>
          </w:tcPr>
          <w:p>
            <w:pPr>
              <w:jc w:val="center"/>
            </w:pPr>
            <w:r>
              <w:rPr>
                <w:rFonts w:ascii="Times New Roman" w:hAnsi="Times New Roman"/>
                <w:color w:val="141E2D"/>
                <w:sz w:val="20"/>
              </w:rPr>
              <w:t>_____________________</w:t>
              <w:br/>
              <w:t>Dr. Lily Bhushan</w:t>
              <w:br/>
              <w:t>Principal</w:t>
              <w:br/>
              <w:t>KES' Shroff College</w:t>
            </w:r>
          </w:p>
        </w:tc>
      </w:tr>
      <w:tr>
        <w:tc>
          <w:tcPr>
            <w:tcW w:type="dxa" w:w="3024"/>
          </w:tcPr>
          <w:p>
            <w:pPr>
              <w:spacing w:before="600" w:after="0" w:line="276" w:lineRule="auto"/>
              <w:jc w:val="center"/>
            </w:pPr>
            <w:r>
              <w:rPr>
                <w:rFonts w:ascii="Times New Roman" w:hAnsi="Times New Roman"/>
                <w:sz w:val="20"/>
              </w:rPr>
              <w:t>_____________________</w:t>
              <w:br/>
              <w:t>External Examiner</w:t>
              <w:br/>
              <w:t>Date: ____ / ____ / 2026</w:t>
            </w:r>
          </w:p>
        </w:tc>
        <w:tc>
          <w:tcPr>
            <w:tcW w:type="dxa" w:w="3024"/>
          </w:tcPr>
          <w:p>
            <w:pPr>
              <w:spacing w:before="600" w:after="0" w:line="276" w:lineRule="auto"/>
              <w:jc w:val="center"/>
            </w:pPr>
            <w:r>
              <w:rPr>
                <w:rFonts w:ascii="Times New Roman" w:hAnsi="Times New Roman"/>
                <w:color w:val="78828C"/>
                <w:sz w:val="19"/>
              </w:rPr>
              <w:t>COLLEGE SEAL / STAMP</w:t>
            </w:r>
          </w:p>
        </w:tc>
        <w:tc>
          <w:tcPr>
            <w:tcW w:type="dxa" w:w="3024"/>
          </w:tcPr>
          <w:p>
            <w:pPr>
              <w:spacing w:before="600" w:after="0" w:line="276" w:lineRule="auto"/>
              <w:jc w:val="center"/>
            </w:pPr>
            <w:r>
              <w:rPr>
                <w:rFonts w:ascii="Times New Roman" w:hAnsi="Times New Roman"/>
                <w:sz w:val="20"/>
              </w:rPr>
              <w:t>_____________________</w:t>
              <w:br/>
              <w:t>Internal Examiner</w:t>
              <w:br/>
              <w:t>Date: ____ / ____ / 2026</w:t>
            </w:r>
          </w:p>
        </w:tc>
      </w:tr>
    </w:tbl>
    <w:p>
      <w:r>
        <w:br w:type="page"/>
      </w:r>
    </w:p>
    <w:p>
      <w:pPr>
        <w:spacing w:before="200" w:after="240" w:line="276" w:lineRule="auto"/>
        <w:jc w:val="center"/>
      </w:pPr>
      <w:r>
        <w:rPr>
          <w:rFonts w:ascii="Times New Roman" w:hAnsi="Times New Roman"/>
          <w:b/>
          <w:color w:val="0F1E41"/>
          <w:sz w:val="28"/>
        </w:rPr>
        <w:t>PROFORMA FOR THE APPROVAL OF PROJECT PROPOSAL</w:t>
        <w:br/>
        <w:t>ACADEMIC YEAR 2025 – 2026</w:t>
      </w:r>
    </w:p>
    <w:tbl>
      <w:tblPr>
        <w:tblW w:type="auto" w:w="0"/>
        <w:jc w:val="center"/>
        <w:tblLook w:firstColumn="1" w:firstRow="1" w:lastColumn="0" w:lastRow="0" w:noHBand="0" w:noVBand="1" w:val="04A0"/>
        <w:tblBorders>
          <w:top w:val="single" w:sz="6" w:space="0" w:color="90A0B0"/>
          <w:bottom w:val="single" w:sz="6" w:space="0" w:color="90A0B0"/>
          <w:left w:val="none"/>
          <w:right w:val="none"/>
          <w:insideH w:val="single" w:sz="6" w:space="0" w:color="90A0B0"/>
          <w:insideV w:val="none"/>
        </w:tblBorders>
      </w:tblPr>
      <w:tblGrid>
        <w:gridCol w:w="4608"/>
        <w:gridCol w:w="4608"/>
      </w:tblGrid>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Roll No. &amp; Division:</w:t>
            </w:r>
          </w:p>
        </w:tc>
        <w:tc>
          <w:tcPr>
            <w:tcW w:type="dxa" w:w="6048"/>
            <w:tcMar>
              <w:top w:w="90" w:type="dxa"/>
              <w:bottom w:w="90" w:type="dxa"/>
              <w:left w:w="120" w:type="dxa"/>
              <w:right w:w="100" w:type="dxa"/>
            </w:tcMar>
          </w:tcPr>
          <w:p>
            <w:pPr>
              <w:jc w:val="left"/>
            </w:pPr>
            <w:r>
              <w:rPr>
                <w:rFonts w:ascii="Times New Roman" w:hAnsi="Times New Roman"/>
                <w:color w:val="1E2832"/>
                <w:sz w:val="21"/>
              </w:rPr>
              <w:t>TDDS013A  |  Division A</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Student Name:</w:t>
            </w:r>
          </w:p>
        </w:tc>
        <w:tc>
          <w:tcPr>
            <w:tcW w:type="dxa" w:w="6048"/>
            <w:tcMar>
              <w:top w:w="90" w:type="dxa"/>
              <w:bottom w:w="90" w:type="dxa"/>
              <w:left w:w="120" w:type="dxa"/>
              <w:right w:w="100" w:type="dxa"/>
            </w:tcMar>
          </w:tcPr>
          <w:p>
            <w:pPr>
              <w:jc w:val="left"/>
            </w:pPr>
            <w:r>
              <w:rPr>
                <w:rFonts w:ascii="Times New Roman" w:hAnsi="Times New Roman"/>
                <w:color w:val="1E2832"/>
                <w:sz w:val="21"/>
              </w:rPr>
              <w:t>IVAN DSOUZA</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Programme / Class:</w:t>
            </w:r>
          </w:p>
        </w:tc>
        <w:tc>
          <w:tcPr>
            <w:tcW w:type="dxa" w:w="6048"/>
            <w:tcMar>
              <w:top w:w="90" w:type="dxa"/>
              <w:bottom w:w="90" w:type="dxa"/>
              <w:left w:w="120" w:type="dxa"/>
              <w:right w:w="100" w:type="dxa"/>
            </w:tcMar>
          </w:tcPr>
          <w:p>
            <w:pPr>
              <w:jc w:val="left"/>
            </w:pPr>
            <w:r>
              <w:rPr>
                <w:rFonts w:ascii="Times New Roman" w:hAnsi="Times New Roman"/>
                <w:color w:val="1E2832"/>
                <w:sz w:val="21"/>
              </w:rPr>
              <w:t>Bachelor of Science (Data Science)  |  T.Y. B.Sc. Semester VI</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Project Title:</w:t>
            </w:r>
          </w:p>
        </w:tc>
        <w:tc>
          <w:tcPr>
            <w:tcW w:type="dxa" w:w="6048"/>
            <w:tcMar>
              <w:top w:w="90" w:type="dxa"/>
              <w:bottom w:w="90" w:type="dxa"/>
              <w:left w:w="120" w:type="dxa"/>
              <w:right w:w="100" w:type="dxa"/>
            </w:tcMar>
          </w:tcPr>
          <w:p>
            <w:pPr>
              <w:jc w:val="left"/>
            </w:pPr>
            <w:r>
              <w:rPr>
                <w:rFonts w:ascii="Times New Roman" w:hAnsi="Times New Roman"/>
                <w:color w:val="1E2832"/>
                <w:sz w:val="21"/>
              </w:rPr>
              <w:t>SURVIVAL-BASED CHURN MODELING WITH PERSONALIZED RETENTION TREATMENT RANKING (RetainIQ)</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Project Identification ID:</w:t>
            </w:r>
          </w:p>
        </w:tc>
        <w:tc>
          <w:tcPr>
            <w:tcW w:type="dxa" w:w="6048"/>
            <w:tcMar>
              <w:top w:w="90" w:type="dxa"/>
              <w:bottom w:w="90" w:type="dxa"/>
              <w:left w:w="120" w:type="dxa"/>
              <w:right w:w="100" w:type="dxa"/>
            </w:tcMar>
          </w:tcPr>
          <w:p>
            <w:pPr>
              <w:jc w:val="left"/>
            </w:pPr>
            <w:r>
              <w:rPr>
                <w:rFonts w:ascii="Times New Roman" w:hAnsi="Times New Roman"/>
                <w:color w:val="1E2832"/>
                <w:sz w:val="21"/>
              </w:rPr>
              <w:t>BDS-11</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Name of Project Guide:</w:t>
            </w:r>
          </w:p>
        </w:tc>
        <w:tc>
          <w:tcPr>
            <w:tcW w:type="dxa" w:w="6048"/>
            <w:tcMar>
              <w:top w:w="90" w:type="dxa"/>
              <w:bottom w:w="90" w:type="dxa"/>
              <w:left w:w="120" w:type="dxa"/>
              <w:right w:w="100" w:type="dxa"/>
            </w:tcMar>
          </w:tcPr>
          <w:p>
            <w:pPr>
              <w:jc w:val="left"/>
            </w:pPr>
            <w:r>
              <w:rPr>
                <w:rFonts w:ascii="Times New Roman" w:hAnsi="Times New Roman"/>
                <w:color w:val="1E2832"/>
                <w:sz w:val="21"/>
              </w:rPr>
              <w:t>Mr./Ms. __________________________</w:t>
            </w:r>
          </w:p>
        </w:tc>
      </w:tr>
      <w:tr>
        <w:tc>
          <w:tcPr>
            <w:tcW w:type="dxa" w:w="3168"/>
            <w:shd w:fill="F0F4F8"/>
            <w:tcMar>
              <w:top w:w="90" w:type="dxa"/>
              <w:bottom w:w="90" w:type="dxa"/>
              <w:left w:w="120" w:type="dxa"/>
              <w:right w:w="100" w:type="dxa"/>
            </w:tcMar>
          </w:tcPr>
          <w:p>
            <w:pPr>
              <w:jc w:val="left"/>
            </w:pPr>
            <w:r>
              <w:rPr>
                <w:rFonts w:ascii="Times New Roman" w:hAnsi="Times New Roman"/>
                <w:b/>
                <w:color w:val="14233C"/>
                <w:sz w:val="21"/>
              </w:rPr>
              <w:t>Specialization Track:</w:t>
            </w:r>
          </w:p>
        </w:tc>
        <w:tc>
          <w:tcPr>
            <w:tcW w:type="dxa" w:w="6048"/>
            <w:tcMar>
              <w:top w:w="90" w:type="dxa"/>
              <w:bottom w:w="90" w:type="dxa"/>
              <w:left w:w="120" w:type="dxa"/>
              <w:right w:w="100" w:type="dxa"/>
            </w:tcMar>
          </w:tcPr>
          <w:p>
            <w:pPr>
              <w:jc w:val="left"/>
            </w:pPr>
            <w:r>
              <w:rPr>
                <w:rFonts w:ascii="Times New Roman" w:hAnsi="Times New Roman"/>
                <w:color w:val="1E2832"/>
                <w:sz w:val="21"/>
              </w:rPr>
              <w:t>Advanced Machine Learning, Causal Inference &amp; Time-to-Event Analytics</w:t>
            </w:r>
          </w:p>
        </w:tc>
      </w:tr>
    </w:tbl>
    <w:p>
      <w:pPr>
        <w:spacing w:before="500" w:after="200" w:line="276" w:lineRule="auto"/>
        <w:jc w:val="both"/>
      </w:pPr>
    </w:p>
    <w:p>
      <w:pPr>
        <w:spacing w:before="400" w:after="200" w:line="276" w:lineRule="auto"/>
        <w:jc w:val="both"/>
      </w:pPr>
    </w:p>
    <w:tbl>
      <w:tblPr>
        <w:tblW w:type="auto" w:w="0"/>
        <w:jc w:val="center"/>
        <w:tblLook w:firstColumn="1" w:firstRow="1" w:lastColumn="0" w:lastRow="0" w:noHBand="0" w:noVBand="1" w:val="04A0"/>
      </w:tblPr>
      <w:tblGrid>
        <w:gridCol w:w="3072"/>
        <w:gridCol w:w="3072"/>
        <w:gridCol w:w="3072"/>
      </w:tblGrid>
      <w:tr>
        <w:tc>
          <w:tcPr>
            <w:tcW w:type="dxa" w:w="3024"/>
          </w:tcPr>
          <w:p>
            <w:pPr>
              <w:jc w:val="center"/>
            </w:pPr>
            <w:r>
              <w:rPr>
                <w:rFonts w:ascii="Times New Roman" w:hAnsi="Times New Roman"/>
                <w:sz w:val="20"/>
              </w:rPr>
              <w:t>_____________________</w:t>
              <w:br/>
              <w:t>Signature of the Student</w:t>
              <w:br/>
              <w:t>Date: ____ / ____ / 2026</w:t>
            </w:r>
          </w:p>
        </w:tc>
        <w:tc>
          <w:tcPr>
            <w:tcW w:type="dxa" w:w="3024"/>
          </w:tcPr>
          <w:p>
            <w:pPr>
              <w:jc w:val="center"/>
            </w:pPr>
            <w:r>
              <w:rPr>
                <w:rFonts w:ascii="Times New Roman" w:hAnsi="Times New Roman"/>
                <w:sz w:val="20"/>
              </w:rPr>
              <w:t>_____________________</w:t>
              <w:br/>
              <w:t>Signature of the Guide</w:t>
              <w:br/>
              <w:t>Date: ____ / ____ / 2026</w:t>
            </w:r>
          </w:p>
        </w:tc>
        <w:tc>
          <w:tcPr>
            <w:tcW w:type="dxa" w:w="3024"/>
          </w:tcPr>
          <w:p>
            <w:pPr>
              <w:jc w:val="center"/>
            </w:pPr>
            <w:r>
              <w:rPr>
                <w:rFonts w:ascii="Times New Roman" w:hAnsi="Times New Roman"/>
                <w:sz w:val="20"/>
              </w:rPr>
              <w:t>_____________________</w:t>
              <w:br/>
              <w:t>Signature of Coordinator</w:t>
              <w:br/>
              <w:t>Date: ____ / ____ / 2026</w:t>
            </w:r>
          </w:p>
        </w:tc>
      </w:tr>
    </w:tbl>
    <w:p>
      <w:r>
        <w:br w:type="page"/>
      </w:r>
    </w:p>
    <w:p>
      <w:pPr>
        <w:spacing w:before="200" w:after="200" w:line="276" w:lineRule="auto"/>
        <w:jc w:val="center"/>
      </w:pPr>
      <w:r>
        <w:rPr>
          <w:rFonts w:ascii="Times New Roman" w:hAnsi="Times New Roman"/>
          <w:b/>
          <w:color w:val="0F1E41"/>
          <w:sz w:val="32"/>
        </w:rPr>
        <w:t>ABSTRACT</w:t>
      </w:r>
    </w:p>
    <w:p>
      <w:pPr>
        <w:spacing w:before="0" w:after="80" w:line="276" w:lineRule="auto"/>
        <w:jc w:val="both"/>
      </w:pPr>
      <w:r>
        <w:rPr>
          <w:rFonts w:ascii="Times New Roman" w:hAnsi="Times New Roman"/>
          <w:b/>
          <w:color w:val="141E2D"/>
          <w:sz w:val="22"/>
        </w:rPr>
        <w:t xml:space="preserve">Background &amp; Problem Formulation: </w:t>
      </w:r>
      <w:r>
        <w:rPr>
          <w:rFonts w:ascii="Times New Roman" w:hAnsi="Times New Roman"/>
          <w:color w:val="1E232D"/>
          <w:sz w:val="22"/>
        </w:rPr>
        <w:t>Customer churn represents one of the most critical operational risks confronting modern subscription-based and recurring-revenue enterprises. In competitive markets such as telecommunications, Software-as-a-Service (SaaS), and digital media, customer acquisition costs frequently exceed retention investments by a factor of five to seven. Consequently, preserving existing customer relationships constitutes a primary driver of enterprise valuation and long-term profitability. However, conventional commercial churn prediction pipelines remain fundamentally limited by an over-reliance on static binary classification formulations (e.g., Logistic Regression, standard XGBoost, and Random Forests). These legacy systems frame attrition as an arbitrary point-in-time classification problem: predicting whether an account will churn within an ad-hoc window such as 30 or 90 days. This paradigm suffers from two fatal theoretical and economic flaws: survival blindness and right-censoring distortion.</w:t>
      </w:r>
    </w:p>
    <w:p>
      <w:pPr>
        <w:spacing w:before="0" w:after="80" w:line="276" w:lineRule="auto"/>
        <w:jc w:val="both"/>
      </w:pPr>
      <w:r>
        <w:rPr>
          <w:rFonts w:ascii="Times New Roman" w:hAnsi="Times New Roman"/>
          <w:b/>
          <w:color w:val="141E2D"/>
          <w:sz w:val="22"/>
        </w:rPr>
        <w:t xml:space="preserve">Theoretical Deficiencies of Legacy Pipelines: </w:t>
      </w:r>
      <w:r>
        <w:rPr>
          <w:rFonts w:ascii="Times New Roman" w:hAnsi="Times New Roman"/>
          <w:color w:val="1E232D"/>
          <w:sz w:val="22"/>
        </w:rPr>
        <w:t>First, binary classifiers treat time as a discarded nuisance variable. A customer departing at Day 3 post-onboarding is treated identically to a tenured subscriber departing at Day 1,000. Second, binary models cannot handle right-censoring—the ubiquitous statistical reality that active subscribers have not yet experienced the churn event at the snapshot date. By forcibly coercing right-censored observations into zero-labels or dropping them altogether, conventional models introduce severe downward survival bias and miss the underlying temporal hazard trajectories. Even more destructively, commercial systems routinely mistake prediction for prescription: marketing teams systematically target the highest-risk churn cohorts with aggressive financial discounts. This practice squanders retention budgets on 'Lost Causes' (customers determined to churn regardless of intervention) and subsidizes 'Sure Things' (subscribers who would have renewed organically), while risking friction among 'Sleeping Dogs' who are prompted to churn upon contact.</w:t>
      </w:r>
    </w:p>
    <w:p>
      <w:pPr>
        <w:spacing w:before="0" w:after="80" w:line="276" w:lineRule="auto"/>
        <w:jc w:val="both"/>
      </w:pPr>
      <w:r>
        <w:rPr>
          <w:rFonts w:ascii="Times New Roman" w:hAnsi="Times New Roman"/>
          <w:b/>
          <w:color w:val="141E2D"/>
          <w:sz w:val="22"/>
        </w:rPr>
        <w:t xml:space="preserve">The RetainIQ Architectural Framework: </w:t>
      </w:r>
      <w:r>
        <w:rPr>
          <w:rFonts w:ascii="Times New Roman" w:hAnsi="Times New Roman"/>
          <w:color w:val="1E232D"/>
          <w:sz w:val="22"/>
        </w:rPr>
        <w:t>To resolve these structural deficiencies, this capstone project introduces RetainIQ (Project ID: BDS-11), an end-to-end, production-grade decision-support ecosystem that unifies statistical survival analysis with causal uplift modeling and prescriptive economic optimization. RetainIQ replaces point-in-time churn probabilities with continuous survival curves S(t) = P(T &gt; t) and hazard functions h(t). The system benchmarks four survival paradigms on an authentic telecommunications cohort of 7,043 subscribers: non-parametric Kaplan-Meier estimation, semi-parametric Cox Proportional Hazards (M1), parametric Weibull Accelerated Failure Time (M2), and non-linear Random Survival Forests (M3). Rigorous time-dependent validation demonstrates that Weibull AFT and Cox Proportional Hazards achieve peak discriminatory power with test Concordance Indices (C-Index) of 0.8697 and 0.8694 respectively, vastly outperforming a naive binary baseline (0.8283). At the operational 90-day horizon, the Weibull AFT model yields an exceptional Integrated Brier Score (IBS) of 0.0818, demonstrating near-perfect probabilistic calibration across deciles.</w:t>
      </w:r>
    </w:p>
    <w:p>
      <w:pPr>
        <w:spacing w:before="0" w:after="80" w:line="276" w:lineRule="auto"/>
        <w:jc w:val="both"/>
      </w:pPr>
      <w:r>
        <w:rPr>
          <w:rFonts w:ascii="Times New Roman" w:hAnsi="Times New Roman"/>
          <w:b/>
          <w:color w:val="141E2D"/>
          <w:sz w:val="22"/>
        </w:rPr>
        <w:t xml:space="preserve">Heterogeneous Treatment Effects &amp; Uplift Optimization: </w:t>
      </w:r>
      <w:r>
        <w:rPr>
          <w:rFonts w:ascii="Times New Roman" w:hAnsi="Times New Roman"/>
          <w:color w:val="1E232D"/>
          <w:sz w:val="22"/>
        </w:rPr>
        <w:t>Beyond predicting survival durations, RetainIQ formulates personalized retention treatment allocation through the lens of causal uplift modeling. The system models heterogeneous treatment effects across four distinct operational interventions: Basic Retention Check-in ($5.00), Proactive Tech Support ($12.00), 15% Bill Discount ($18.50), and Long-Term Contract Incentive ($35.00). By deploying Meta-Learner architectures (S-Learner, T-Learner, and X-Learner), RetainIQ estimates the Conditional Average Treatment Effect (CATE) tau(x) = Delta S(t|x) representing the absolute counterfactual gain in survival probability attributable to each specific intervention. Empirical uplift evaluation reveals that the T-Learner achieves the highest ranking effectiveness with a mean Qini score of 0.6920, establishing that treatment responsiveness is orthogonal to raw baseline risk.</w:t>
      </w:r>
    </w:p>
    <w:p>
      <w:pPr>
        <w:spacing w:before="0" w:after="80" w:line="276" w:lineRule="auto"/>
        <w:jc w:val="both"/>
      </w:pPr>
      <w:r>
        <w:rPr>
          <w:rFonts w:ascii="Times New Roman" w:hAnsi="Times New Roman"/>
          <w:b/>
          <w:color w:val="141E2D"/>
          <w:sz w:val="22"/>
        </w:rPr>
        <w:t xml:space="preserve">Prescriptive Economics &amp; Expected Retention Value (ERV): </w:t>
      </w:r>
      <w:r>
        <w:rPr>
          <w:rFonts w:ascii="Times New Roman" w:hAnsi="Times New Roman"/>
          <w:color w:val="1E232D"/>
          <w:sz w:val="22"/>
        </w:rPr>
        <w:t>The estimated individual treatment effects are fed into RetainIQ's Prescriptive Ranking Engine, which solves a constrained knapsack optimization problem grounded in Expected Retention Value (ERV). ERV is defined mathematically as ERV_ik = Delta S_ik(t) * LTV_i - C_k, where LTV_i denotes customer lifetime value and C_k is the unit intervention cost. RetainIQ enforces a strict economic fallback policy: if no candidate treatment yields a strictly positive ERV, the customer is prescribed 'No Intervention' (Cost: $0.00). Across a simulated campaign portfolio of 1,873 high-risk accounts, RetainIQ optimizes treatment allocation under a $15,000 budget cap, allocating 1,248 accounts to generate $48,920 in Net Expected Retention Value, delivering a remarkable 329.2% campaign return on investment (ROI).</w:t>
      </w:r>
    </w:p>
    <w:p>
      <w:pPr>
        <w:spacing w:before="0" w:after="80" w:line="276" w:lineRule="auto"/>
        <w:jc w:val="both"/>
      </w:pPr>
      <w:r>
        <w:rPr>
          <w:rFonts w:ascii="Times New Roman" w:hAnsi="Times New Roman"/>
          <w:b/>
          <w:color w:val="141E2D"/>
          <w:sz w:val="22"/>
        </w:rPr>
        <w:t xml:space="preserve">Enterprise Governance, Auditability &amp; System Deployment: </w:t>
      </w:r>
      <w:r>
        <w:rPr>
          <w:rFonts w:ascii="Times New Roman" w:hAnsi="Times New Roman"/>
          <w:color w:val="1E232D"/>
          <w:sz w:val="22"/>
        </w:rPr>
        <w:t>To ensure institutional trust and auditability, RetainIQ incorporates a tamper-evident cryptographic audit ledger using SHA-256 hash chaining, guaranteeing immutable logging of every algorithmic prescription and manual analyst override. Production monitoring implements Population Stability Index (PSI) tracking (recording a healthy max PSI of 0.0120), while adversarial stress testing confirms model resilience under 30% missing data and Gaussian noise perturbations. The system is delivered through a low-latency FastAPI microservice (&lt;15ms response latency) and an 11-page interactive Streamlit decision dashboard. RetainIQ bridges the gap between theoretical survival analysis and commercial prescriptive economics, providing enterprise retention leaders with a scientifically grounded, economically optimal retention framework.</w:t>
      </w:r>
    </w:p>
    <w:p>
      <w:pPr>
        <w:spacing w:before="240" w:after="120" w:line="276" w:lineRule="auto"/>
        <w:jc w:val="both"/>
      </w:pPr>
      <w:r>
        <w:rPr>
          <w:rFonts w:ascii="Times New Roman" w:hAnsi="Times New Roman"/>
          <w:b/>
          <w:sz w:val="21"/>
        </w:rPr>
        <w:t xml:space="preserve">Keywords: </w:t>
      </w:r>
      <w:r>
        <w:rPr>
          <w:rFonts w:ascii="Times New Roman" w:hAnsi="Times New Roman"/>
          <w:i/>
          <w:sz w:val="20"/>
        </w:rPr>
        <w:t>Survival Analysis, Right Censoring, Kaplan-Meier, Cox Proportional Hazards, Weibull AFT, Random Survival Forests, Causal Uplift Modeling, T-Learner, Expected Retention Value (ERV), Prescriptive Optimization, Cryptographic Audit Trail, FastAPI, Streamlit.</w:t>
      </w:r>
    </w:p>
    <w:p>
      <w:r>
        <w:br w:type="page"/>
      </w:r>
    </w:p>
    <w:p>
      <w:pPr>
        <w:spacing w:before="200" w:after="240" w:line="276" w:lineRule="auto"/>
        <w:jc w:val="center"/>
      </w:pPr>
      <w:r>
        <w:rPr>
          <w:rFonts w:ascii="Times New Roman" w:hAnsi="Times New Roman"/>
          <w:b/>
          <w:color w:val="0F1E41"/>
          <w:sz w:val="32"/>
        </w:rPr>
        <w:t>ACKNOWLEDGEMENT</w:t>
      </w:r>
    </w:p>
    <w:p>
      <w:pPr>
        <w:spacing w:before="0" w:after="80" w:line="276" w:lineRule="auto"/>
        <w:jc w:val="both"/>
      </w:pPr>
      <w:r>
        <w:rPr>
          <w:rFonts w:ascii="Times New Roman" w:hAnsi="Times New Roman"/>
          <w:color w:val="1E232D"/>
          <w:sz w:val="22"/>
        </w:rPr>
        <w:t>The completion of this Capstone Project, entitled 'SURVIVAL-BASED CHURN MODELING WITH PERSONALIZED RETENTION TREATMENT RANKING' (RetainIQ, Project ID: BDS-11), has been an enriching academic and technical journey. I take this opportunity to express my profound gratitude to everyone who contributed their invaluable guidance, constructive criticism, and encouragement throughout the ideation, implementation, and reporting phases.</w:t>
      </w:r>
    </w:p>
    <w:p>
      <w:pPr>
        <w:spacing w:before="0" w:after="80" w:line="276" w:lineRule="auto"/>
        <w:jc w:val="both"/>
      </w:pPr>
      <w:r>
        <w:rPr>
          <w:rFonts w:ascii="Times New Roman" w:hAnsi="Times New Roman"/>
          <w:color w:val="1E232D"/>
          <w:sz w:val="22"/>
        </w:rPr>
        <w:t>First and foremost, I wish to express my deepest sense of gratitude and indebtedness to my esteemed Project Guide, Mr./Ms. __________________________, Department of Data Science, for their constant guidance, intellectual mentorship, and meticulous scrutiny of this work. Their profound insights into survival statistics, causal machine learning, and software architecture provided the technical clarity necessary to execute this rigorous undertaking.</w:t>
      </w:r>
    </w:p>
    <w:p>
      <w:pPr>
        <w:spacing w:before="0" w:after="80" w:line="276" w:lineRule="auto"/>
        <w:jc w:val="both"/>
      </w:pPr>
      <w:r>
        <w:rPr>
          <w:rFonts w:ascii="Times New Roman" w:hAnsi="Times New Roman"/>
          <w:color w:val="1E232D"/>
          <w:sz w:val="22"/>
        </w:rPr>
        <w:t>I extend my sincere thanks to Ms. Sweta Suman, Teacher In-charge and Course Coordinator of the B.Sc. Data Science programme, for providing an academically stimulating environment, essential departmental infrastructure, and continuous administrative support throughout the academic year.</w:t>
      </w:r>
    </w:p>
    <w:p>
      <w:pPr>
        <w:spacing w:before="0" w:after="80" w:line="276" w:lineRule="auto"/>
        <w:jc w:val="both"/>
      </w:pPr>
      <w:r>
        <w:rPr>
          <w:rFonts w:ascii="Times New Roman" w:hAnsi="Times New Roman"/>
          <w:color w:val="1E232D"/>
          <w:sz w:val="22"/>
        </w:rPr>
        <w:t>I also convey my deep respect and gratitude to our respected Principal, Dr. Lily Bhushan, whose visionary leadership and commitment to fostering advanced applied research at KES' Shroff College of Arts &amp; Commerce has inspired us to strive for academic and technical excellence.</w:t>
      </w:r>
    </w:p>
    <w:p>
      <w:pPr>
        <w:spacing w:before="0" w:after="80" w:line="276" w:lineRule="auto"/>
        <w:jc w:val="both"/>
      </w:pPr>
      <w:r>
        <w:rPr>
          <w:rFonts w:ascii="Times New Roman" w:hAnsi="Times New Roman"/>
          <w:color w:val="1E232D"/>
          <w:sz w:val="22"/>
        </w:rPr>
        <w:t>I am immensely grateful to all the esteemed faculty members of the Department of Data Science and Information Technology for imparting foundational mathematical and computational principles that formed the bedrock of this project. Special thanks are due to the laboratory assistants and administrative staff for their seamless technical assistance.</w:t>
      </w:r>
    </w:p>
    <w:p>
      <w:pPr>
        <w:spacing w:before="0" w:after="700" w:line="276" w:lineRule="auto"/>
        <w:jc w:val="both"/>
      </w:pPr>
      <w:r>
        <w:rPr>
          <w:rFonts w:ascii="Times New Roman" w:hAnsi="Times New Roman"/>
          <w:color w:val="1E232D"/>
          <w:sz w:val="22"/>
        </w:rPr>
        <w:t>Finally, I owe an immeasurable debt of gratitude to my parents and family members for their unconditional love, patience, and moral support throughout my academic tenure. I also thank my peers and fellow classmates for their spirited discussions, collaborative feedback, and camaraderie.</w:t>
      </w:r>
    </w:p>
    <w:p>
      <w:pPr>
        <w:spacing w:before="300" w:after="0" w:line="276" w:lineRule="auto"/>
        <w:jc w:val="right"/>
      </w:pPr>
      <w:r>
        <w:rPr>
          <w:rFonts w:ascii="Times New Roman" w:hAnsi="Times New Roman"/>
          <w:b/>
          <w:color w:val="0F1E41"/>
          <w:sz w:val="22"/>
        </w:rPr>
        <w:t>MR. IVAN DSOUZA</w:t>
        <w:br/>
        <w:t>Roll No.: TDDS013A</w:t>
        <w:br/>
        <w:t>T.Y. B.Sc. Data Science, Semester VI</w:t>
        <w:br/>
        <w:t>KES' Shroff College, Mumbai</w:t>
      </w:r>
    </w:p>
    <w:p>
      <w:r>
        <w:br w:type="page"/>
      </w:r>
    </w:p>
    <w:p>
      <w:pPr>
        <w:spacing w:before="200" w:after="240" w:line="276" w:lineRule="auto"/>
        <w:jc w:val="center"/>
      </w:pPr>
      <w:r>
        <w:rPr>
          <w:rFonts w:ascii="Times New Roman" w:hAnsi="Times New Roman"/>
          <w:b/>
          <w:color w:val="0F1E41"/>
          <w:sz w:val="32"/>
        </w:rPr>
        <w:t>DECLARATION</w:t>
      </w:r>
    </w:p>
    <w:p>
      <w:pPr>
        <w:spacing w:before="200" w:after="200" w:line="276" w:lineRule="auto"/>
        <w:jc w:val="both"/>
      </w:pPr>
      <w:r>
        <w:rPr>
          <w:rFonts w:ascii="Times New Roman" w:hAnsi="Times New Roman"/>
          <w:color w:val="1E232D"/>
          <w:sz w:val="22"/>
        </w:rPr>
        <w:t>I, MR. IVAN DSOUZA, student of Third Year Bachelor of Science in Data Science (Semester VI), Division: A, Roll No.: TDDS013A, studying at Kandivli Education Society's BK Shroff College of Arts &amp; MH Shroff College of Commerce (Autonomous), Kandivali (West), Mumbai - 400067, hereby declare that the Capstone Project report entitled:</w:t>
      </w:r>
    </w:p>
    <w:p>
      <w:pPr>
        <w:spacing w:before="200" w:after="240" w:line="276" w:lineRule="auto"/>
        <w:jc w:val="center"/>
      </w:pPr>
      <w:r>
        <w:rPr>
          <w:rFonts w:ascii="Times New Roman" w:hAnsi="Times New Roman"/>
          <w:b/>
          <w:color w:val="0F234B"/>
          <w:sz w:val="26"/>
        </w:rPr>
        <w:t>“SURVIVAL-BASED CHURN MODELING WITH PERSONALIZED RETENTION TREATMENT RANKING”</w:t>
        <w:br/>
        <w:t>(RetainIQ  |  Project ID: BDS-11)</w:t>
      </w:r>
    </w:p>
    <w:p>
      <w:pPr>
        <w:spacing w:before="0" w:after="80" w:line="276" w:lineRule="auto"/>
        <w:jc w:val="both"/>
      </w:pPr>
      <w:r>
        <w:rPr>
          <w:rFonts w:ascii="Times New Roman" w:hAnsi="Times New Roman"/>
          <w:color w:val="1E232D"/>
          <w:sz w:val="22"/>
        </w:rPr>
        <w:t>represents my own authentic, original work carried out under the supervision of my project guide, Mr./Ms. __________________________, Department of Data Science, KES' Shroff College, during the Academic Year 2025 – 2026.</w:t>
      </w:r>
    </w:p>
    <w:p>
      <w:pPr>
        <w:spacing w:before="0" w:after="80" w:line="276" w:lineRule="auto"/>
        <w:jc w:val="both"/>
      </w:pPr>
      <w:r>
        <w:rPr>
          <w:rFonts w:ascii="Times New Roman" w:hAnsi="Times New Roman"/>
          <w:color w:val="1E232D"/>
          <w:sz w:val="22"/>
        </w:rPr>
        <w:t>I further affirm that this project report has been compiled by me in partial fulfillment of the academic requirements for the degree of Bachelor of Science (Data Science). To the best of my knowledge and belief, this work contains no material previously published or written by another person, nor has any part of this work been submitted previously to this or any other university, institute, or examining body for the award of any degree, diploma, or qualification.</w:t>
      </w:r>
    </w:p>
    <w:p>
      <w:pPr>
        <w:spacing w:before="0" w:after="900" w:line="276" w:lineRule="auto"/>
        <w:jc w:val="both"/>
      </w:pPr>
      <w:r>
        <w:rPr>
          <w:rFonts w:ascii="Times New Roman" w:hAnsi="Times New Roman"/>
          <w:color w:val="1E232D"/>
          <w:sz w:val="22"/>
        </w:rPr>
        <w:t>All data sources, analytical formulas, algorithms, software libraries, and literature consulted have been duly acknowledged and cited in accordance with academic standards and ethical reporting guidelines. I bear full and sole responsibility for any inaccuracies, misstatements, or omissions present in this report.</w:t>
      </w:r>
    </w:p>
    <w:p>
      <w:pPr>
        <w:spacing w:before="400" w:after="0" w:line="276" w:lineRule="auto"/>
        <w:jc w:val="right"/>
      </w:pPr>
      <w:r>
        <w:rPr>
          <w:rFonts w:ascii="Times New Roman" w:hAnsi="Times New Roman"/>
          <w:b/>
          <w:color w:val="0F1E41"/>
          <w:sz w:val="22"/>
        </w:rPr>
        <w:t>_______________________________</w:t>
        <w:br/>
        <w:t>MR. IVAN DSOUZA</w:t>
        <w:br/>
        <w:t>Roll No.: TDDS013A</w:t>
        <w:br/>
        <w:t>Date: ____ / ____ / 2026</w:t>
        <w:br/>
        <w:t>Place: Mumbai</w:t>
      </w:r>
    </w:p>
    <w:p>
      <w:r>
        <w:br w:type="page"/>
      </w:r>
    </w:p>
    <w:p>
      <w:pPr>
        <w:spacing w:before="200" w:after="200" w:line="276" w:lineRule="auto"/>
        <w:jc w:val="center"/>
      </w:pPr>
      <w:r>
        <w:rPr>
          <w:rFonts w:ascii="Times New Roman" w:hAnsi="Times New Roman"/>
          <w:b/>
          <w:color w:val="0F1E41"/>
          <w:sz w:val="32"/>
        </w:rPr>
        <w:t>TABLE OF CONTENTS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1584"/>
            <w:shd w:fill="152035"/>
            <w:tcMar>
              <w:top w:w="80" w:type="dxa"/>
              <w:bottom w:w="80" w:type="dxa"/>
              <w:left w:w="100" w:type="dxa"/>
              <w:right w:w="80" w:type="dxa"/>
            </w:tcMar>
          </w:tcPr>
          <w:p>
            <w:pPr>
              <w:jc w:val="center"/>
            </w:pPr>
            <w:r>
              <w:rPr>
                <w:rFonts w:ascii="Times New Roman" w:hAnsi="Times New Roman"/>
                <w:b/>
                <w:color w:val="FFFFFF"/>
                <w:sz w:val="20"/>
              </w:rPr>
              <w:t>SR. NO.</w:t>
            </w:r>
          </w:p>
        </w:tc>
        <w:tc>
          <w:tcPr>
            <w:tcW w:type="dxa" w:w="6480"/>
            <w:shd w:fill="152035"/>
            <w:tcMar>
              <w:top w:w="80" w:type="dxa"/>
              <w:bottom w:w="80" w:type="dxa"/>
              <w:left w:w="100" w:type="dxa"/>
              <w:right w:w="80" w:type="dxa"/>
            </w:tcMar>
          </w:tcPr>
          <w:p>
            <w:pPr>
              <w:jc w:val="left"/>
            </w:pPr>
            <w:r>
              <w:rPr>
                <w:rFonts w:ascii="Times New Roman" w:hAnsi="Times New Roman"/>
                <w:b/>
                <w:color w:val="FFFFFF"/>
                <w:sz w:val="20"/>
              </w:rPr>
              <w:t>TOPIC / CHAPTER TITLE</w:t>
            </w:r>
          </w:p>
        </w:tc>
        <w:tc>
          <w:tcPr>
            <w:tcW w:type="dxa" w:w="1296"/>
            <w:shd w:fill="152035"/>
            <w:tcMar>
              <w:top w:w="80" w:type="dxa"/>
              <w:bottom w:w="80" w:type="dxa"/>
              <w:left w:w="100" w:type="dxa"/>
              <w:right w:w="80" w:type="dxa"/>
            </w:tcMar>
          </w:tcPr>
          <w:p>
            <w:pPr>
              <w:jc w:val="center"/>
            </w:pPr>
            <w:r>
              <w:rPr>
                <w:rFonts w:ascii="Times New Roman" w:hAnsi="Times New Roman"/>
                <w:b/>
                <w:color w:val="FFFFFF"/>
                <w:sz w:val="20"/>
              </w:rPr>
              <w:t>PAGE</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PRELIMINARY PAGES</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i–xii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Certificate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ii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Proforma for Approval of Project Proposal</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iii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Abstract</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iv–v</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Acknowledgement</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vi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Declaration</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vii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Table of Contents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viii–ix</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List of Figures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x–xi</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List of Tables &amp; List of Abbreviations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xii</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1</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1: INTRODUCTION</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13–17</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Significance of the Project</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Project Objectives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Purpose and Scope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1.3.1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Purpose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1.3.2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Scope and Boundary Conditions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16</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Enterprise Applicability</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16</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1.5</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Technical and Empirical Achievements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17</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2</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2: SYSTEM ANALYSIS</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18–23</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Existing System and Theoretical Limitations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18</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Proposed System: RetainIQ Architecture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Requirements Analysis (Functional, ML, Dashboard, API, Governance)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19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Hardware Requirements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21</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2.5</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Software Requirements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22</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2.6</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Survey of Technology and Algorithmic Foundations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22</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3</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3: SYSTEM DESIGN</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24–32</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Module Division and Functional Decomposition</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System Architecture (Figure 3.1)</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Project Development Gantt Chart (Figure 3.2)</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26</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Data Flow Representation (DFD Level 0 &amp; Level 1) (Figure 3.3)</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27</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3.5</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UML Modeling</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28</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3.5.1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UML Class Diagram (Figure 3.4)</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28</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3.5.2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UML Sequence Diagram: Scoring &amp; Prescription (Figure 3.5)</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29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3.5.3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UML State Chart: Churn State Machine (Figure 3.6a)</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30</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3.5.4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UML Use-Case Model (Figure 3.6b)</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30</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3.6</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Data Model &amp; Treatment Configuration Architecture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31</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4</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4: IMPLEMENTATION AND TESTING</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33–39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Data Ingestion and Cleaning Implementation</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33</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Leakage Prevention Pipeline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33</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Survival Modeling Engines (KM, Cox PH, Weibull AFT, RSF)</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Causal Uplift &amp; Meta-Learner Implementation</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4.5</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Personalized Ranking &amp; ERV Optimization Engine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4.6</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Representative Source Code Listings (Listings 4.1 – 4.6)</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4.7</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Testing Methodology &amp; Quality Assurance</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38</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4.8</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Automated Test Results Matrix (27 Test Cases Verified)</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39</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5</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5: RESULTS AND DISCUSSIONS</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40–51</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Dataset Composition and Exploratory Demographics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40</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Data Quality, Imputation &amp; Leakage Audit Findings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41</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Kaplan-Meier Empirical Survival Analysis (Figures 5.1 – 5.3)</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41</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5.4</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Survival Model Benchmarking &amp; Performance (Figure 5.4)</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43</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5.5</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Time-Dependent Probability Calibration (Figure 5.5)</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5.6</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Customer Risk Stratification Tiers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44</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5.7</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Treatment Effect &amp; Uplift Modeling Findings (Figure 5.6)</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5.8</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Prescriptive Ranking &amp; Portfolio ERV Optimization (Figure 5.7)</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45</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5.9</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Model Explainability &amp; Hazard Attribution (Figures 5.8 – 5.9)</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46</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5.10</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System Robustness &amp; Adversarial Stress Testing (Figure 5.10)</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5.11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Population Drift &amp; Monitoring Metrics (PSI)</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49</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5.12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Interactive Dashboard &amp; REST API Performance (Figures 5.11 – 5.12)</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50</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6</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6: CONCLUSION AND FUTURE WORK</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52–53</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6.1</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Project Synthesis and Empirical Conclusion</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52</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6.2</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Future Scope and Architectural Extensions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52</w:t>
            </w:r>
          </w:p>
        </w:tc>
      </w:tr>
      <w:tr>
        <w:tc>
          <w:tcPr>
            <w:tcW w:type="dxa" w:w="1440"/>
            <w:tcMar>
              <w:top w:w="24" w:type="dxa"/>
              <w:bottom w:w="24" w:type="dxa"/>
              <w:left w:w="60" w:type="dxa"/>
              <w:right w:w="40" w:type="dxa"/>
            </w:tcMar>
            <w:shd w:fill="FFFFFF"/>
          </w:tcPr>
          <w:p>
            <w:pPr>
              <w:spacing w:line="252" w:lineRule="auto" w:before="0" w:after="0"/>
              <w:jc w:val="center"/>
            </w:pPr>
            <w:r>
              <w:rPr>
                <w:rFonts w:ascii="Times New Roman" w:hAnsi="Times New Roman"/>
                <w:sz w:val="17"/>
              </w:rPr>
              <w:t>6.3</w:t>
            </w:r>
          </w:p>
        </w:tc>
        <w:tc>
          <w:tcPr>
            <w:tcW w:type="dxa" w:w="6768"/>
            <w:tcMar>
              <w:top w:w="24" w:type="dxa"/>
              <w:bottom w:w="24" w:type="dxa"/>
              <w:left w:w="60" w:type="dxa"/>
              <w:right w:w="40" w:type="dxa"/>
            </w:tcMar>
            <w:shd w:fill="FFFFFF"/>
          </w:tcPr>
          <w:p>
            <w:pPr>
              <w:spacing w:line="252" w:lineRule="auto" w:before="0" w:after="0"/>
              <w:jc w:val="left"/>
            </w:pPr>
            <w:r>
              <w:rPr>
                <w:rFonts w:ascii="Times New Roman" w:hAnsi="Times New Roman"/>
                <w:sz w:val="17"/>
              </w:rPr>
              <w:t>Real-World Operational Limitations</w:t>
            </w:r>
          </w:p>
        </w:tc>
        <w:tc>
          <w:tcPr>
            <w:tcW w:type="dxa" w:w="1152"/>
            <w:tcMar>
              <w:top w:w="24" w:type="dxa"/>
              <w:bottom w:w="24" w:type="dxa"/>
              <w:left w:w="60" w:type="dxa"/>
              <w:right w:w="40" w:type="dxa"/>
            </w:tcMar>
            <w:shd w:fill="FFFFFF"/>
          </w:tcPr>
          <w:p>
            <w:pPr>
              <w:spacing w:line="252" w:lineRule="auto" w:before="0" w:after="0"/>
              <w:jc w:val="center"/>
            </w:pPr>
            <w:r>
              <w:rPr>
                <w:rFonts w:ascii="Times New Roman" w:hAnsi="Times New Roman"/>
                <w:sz w:val="17"/>
              </w:rPr>
              <w:t>53</w:t>
            </w:r>
          </w:p>
        </w:tc>
      </w:tr>
      <w:tr>
        <w:tc>
          <w:tcPr>
            <w:tcW w:type="dxa" w:w="1440"/>
            <w:tcMar>
              <w:top w:w="24" w:type="dxa"/>
              <w:bottom w:w="24" w:type="dxa"/>
              <w:left w:w="60" w:type="dxa"/>
              <w:right w:w="40" w:type="dxa"/>
            </w:tcMar>
            <w:shd w:fill="F4F6F9"/>
          </w:tcPr>
          <w:p>
            <w:pPr>
              <w:spacing w:line="252" w:lineRule="auto" w:before="0" w:after="0"/>
              <w:jc w:val="center"/>
            </w:pPr>
            <w:r>
              <w:rPr>
                <w:rFonts w:ascii="Times New Roman" w:hAnsi="Times New Roman"/>
                <w:b/>
                <w:sz w:val="17"/>
              </w:rPr>
              <w:t>7</w:t>
            </w:r>
          </w:p>
        </w:tc>
        <w:tc>
          <w:tcPr>
            <w:tcW w:type="dxa" w:w="6768"/>
            <w:tcMar>
              <w:top w:w="24" w:type="dxa"/>
              <w:bottom w:w="24" w:type="dxa"/>
              <w:left w:w="60" w:type="dxa"/>
              <w:right w:w="40" w:type="dxa"/>
            </w:tcMar>
            <w:shd w:fill="F4F6F9"/>
          </w:tcPr>
          <w:p>
            <w:pPr>
              <w:spacing w:line="252" w:lineRule="auto" w:before="0" w:after="0"/>
              <w:jc w:val="left"/>
            </w:pPr>
            <w:r>
              <w:rPr>
                <w:rFonts w:ascii="Times New Roman" w:hAnsi="Times New Roman"/>
                <w:b/>
                <w:color w:val="0F1E3C"/>
                <w:sz w:val="17"/>
              </w:rPr>
              <w:t>CHAPTER 7: REFERENCES</w:t>
            </w:r>
          </w:p>
        </w:tc>
        <w:tc>
          <w:tcPr>
            <w:tcW w:type="dxa" w:w="1152"/>
            <w:tcMar>
              <w:top w:w="24" w:type="dxa"/>
              <w:bottom w:w="24" w:type="dxa"/>
              <w:left w:w="60" w:type="dxa"/>
              <w:right w:w="40" w:type="dxa"/>
            </w:tcMar>
            <w:shd w:fill="F4F6F9"/>
          </w:tcPr>
          <w:p>
            <w:pPr>
              <w:spacing w:line="252" w:lineRule="auto" w:before="0" w:after="0"/>
              <w:jc w:val="center"/>
            </w:pPr>
            <w:r>
              <w:rPr>
                <w:rFonts w:ascii="Times New Roman" w:hAnsi="Times New Roman"/>
                <w:b/>
                <w:sz w:val="17"/>
              </w:rPr>
              <w:t>54–55</w:t>
            </w:r>
          </w:p>
        </w:tc>
      </w:tr>
    </w:tbl>
    <w:p>
      <w:r>
        <w:br w:type="page"/>
      </w:r>
    </w:p>
    <w:p>
      <w:pPr>
        <w:spacing w:before="200" w:after="200" w:line="276" w:lineRule="auto"/>
        <w:jc w:val="center"/>
      </w:pPr>
      <w:r>
        <w:rPr>
          <w:rFonts w:ascii="Times New Roman" w:hAnsi="Times New Roman"/>
          <w:b/>
          <w:color w:val="0F1E41"/>
          <w:sz w:val="32"/>
        </w:rPr>
        <w:t>LIST OF FIGURES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1728"/>
            <w:shd w:fill="152035"/>
            <w:tcMar>
              <w:top w:w="80" w:type="dxa"/>
              <w:bottom w:w="80" w:type="dxa"/>
              <w:left w:w="100" w:type="dxa"/>
              <w:right w:w="80" w:type="dxa"/>
            </w:tcMar>
          </w:tcPr>
          <w:p>
            <w:pPr>
              <w:jc w:val="center"/>
            </w:pPr>
            <w:r>
              <w:rPr>
                <w:rFonts w:ascii="Times New Roman" w:hAnsi="Times New Roman"/>
                <w:b/>
                <w:color w:val="FFFFFF"/>
                <w:sz w:val="20"/>
              </w:rPr>
              <w:t>FIGURE NO.</w:t>
            </w:r>
          </w:p>
        </w:tc>
        <w:tc>
          <w:tcPr>
            <w:tcW w:type="dxa" w:w="6336"/>
            <w:shd w:fill="152035"/>
            <w:tcMar>
              <w:top w:w="80" w:type="dxa"/>
              <w:bottom w:w="80" w:type="dxa"/>
              <w:left w:w="100" w:type="dxa"/>
              <w:right w:w="80" w:type="dxa"/>
            </w:tcMar>
          </w:tcPr>
          <w:p>
            <w:pPr>
              <w:jc w:val="left"/>
            </w:pPr>
            <w:r>
              <w:rPr>
                <w:rFonts w:ascii="Times New Roman" w:hAnsi="Times New Roman"/>
                <w:b/>
                <w:color w:val="FFFFFF"/>
                <w:sz w:val="20"/>
              </w:rPr>
              <w:t>FIGURE CAPTION / DESCRIPTION</w:t>
            </w:r>
          </w:p>
        </w:tc>
        <w:tc>
          <w:tcPr>
            <w:tcW w:type="dxa" w:w="1296"/>
            <w:shd w:fill="152035"/>
            <w:tcMar>
              <w:top w:w="80" w:type="dxa"/>
              <w:bottom w:w="80" w:type="dxa"/>
              <w:left w:w="100" w:type="dxa"/>
              <w:right w:w="80" w:type="dxa"/>
            </w:tcMar>
          </w:tcPr>
          <w:p>
            <w:pPr>
              <w:jc w:val="center"/>
            </w:pPr>
            <w:r>
              <w:rPr>
                <w:rFonts w:ascii="Times New Roman" w:hAnsi="Times New Roman"/>
                <w:b/>
                <w:color w:val="FFFFFF"/>
                <w:sz w:val="20"/>
              </w:rPr>
              <w:t>PAGE</w:t>
            </w:r>
          </w:p>
        </w:tc>
      </w:tr>
      <w:tr>
        <w:tc>
          <w:tcPr>
            <w:tcW w:type="dxa" w:w="1728"/>
            <w:tcMar>
              <w:top w:w="50" w:type="dxa"/>
              <w:bottom w:w="50" w:type="dxa"/>
              <w:left w:w="80" w:type="dxa"/>
              <w:right w:w="60" w:type="dxa"/>
            </w:tcMar>
          </w:tcPr>
          <w:p>
            <w:pPr>
              <w:jc w:val="center"/>
            </w:pPr>
            <w:r>
              <w:rPr>
                <w:rFonts w:ascii="Times New Roman" w:hAnsi="Times New Roman"/>
                <w:b/>
                <w:sz w:val="19"/>
              </w:rPr>
              <w:t>Figure 3.1</w:t>
            </w:r>
          </w:p>
        </w:tc>
        <w:tc>
          <w:tcPr>
            <w:tcW w:type="dxa" w:w="6336"/>
            <w:tcMar>
              <w:top w:w="50" w:type="dxa"/>
              <w:bottom w:w="50" w:type="dxa"/>
              <w:left w:w="80" w:type="dxa"/>
              <w:right w:w="60" w:type="dxa"/>
            </w:tcMar>
          </w:tcPr>
          <w:p>
            <w:pPr>
              <w:jc w:val="left"/>
            </w:pPr>
            <w:r>
              <w:rPr>
                <w:rFonts w:ascii="Times New Roman" w:hAnsi="Times New Roman"/>
                <w:sz w:val="19"/>
              </w:rPr>
              <w:t>Overall RetainIQ Multi-Stage System Architecture</w:t>
            </w:r>
          </w:p>
        </w:tc>
        <w:tc>
          <w:tcPr>
            <w:tcW w:type="dxa" w:w="1296"/>
            <w:tcMar>
              <w:top w:w="50" w:type="dxa"/>
              <w:bottom w:w="50" w:type="dxa"/>
              <w:left w:w="80" w:type="dxa"/>
              <w:right w:w="60" w:type="dxa"/>
            </w:tcMar>
          </w:tcPr>
          <w:p>
            <w:pPr>
              <w:jc w:val="center"/>
            </w:pPr>
            <w:r>
              <w:rPr>
                <w:rFonts w:ascii="Times New Roman" w:hAnsi="Times New Roman"/>
                <w:sz w:val="19"/>
              </w:rPr>
              <w:t>25</w:t>
            </w:r>
          </w:p>
        </w:tc>
      </w:tr>
      <w:tr>
        <w:tc>
          <w:tcPr>
            <w:tcW w:type="dxa" w:w="1728"/>
            <w:tcMar>
              <w:top w:w="50" w:type="dxa"/>
              <w:bottom w:w="50" w:type="dxa"/>
              <w:left w:w="80" w:type="dxa"/>
              <w:right w:w="60" w:type="dxa"/>
            </w:tcMar>
          </w:tcPr>
          <w:p>
            <w:pPr>
              <w:jc w:val="center"/>
            </w:pPr>
            <w:r>
              <w:rPr>
                <w:rFonts w:ascii="Times New Roman" w:hAnsi="Times New Roman"/>
                <w:b/>
                <w:sz w:val="19"/>
              </w:rPr>
              <w:t>Figure 3.2</w:t>
            </w:r>
          </w:p>
        </w:tc>
        <w:tc>
          <w:tcPr>
            <w:tcW w:type="dxa" w:w="6336"/>
            <w:tcMar>
              <w:top w:w="50" w:type="dxa"/>
              <w:bottom w:w="50" w:type="dxa"/>
              <w:left w:w="80" w:type="dxa"/>
              <w:right w:w="60" w:type="dxa"/>
            </w:tcMar>
          </w:tcPr>
          <w:p>
            <w:pPr>
              <w:jc w:val="left"/>
            </w:pPr>
            <w:r>
              <w:rPr>
                <w:rFonts w:ascii="Times New Roman" w:hAnsi="Times New Roman"/>
                <w:sz w:val="19"/>
              </w:rPr>
              <w:t>RetainIQ Engineering Lifecycle and Development Gantt Chart</w:t>
            </w:r>
          </w:p>
        </w:tc>
        <w:tc>
          <w:tcPr>
            <w:tcW w:type="dxa" w:w="1296"/>
            <w:tcMar>
              <w:top w:w="50" w:type="dxa"/>
              <w:bottom w:w="50" w:type="dxa"/>
              <w:left w:w="80" w:type="dxa"/>
              <w:right w:w="60" w:type="dxa"/>
            </w:tcMar>
          </w:tcPr>
          <w:p>
            <w:pPr>
              <w:jc w:val="center"/>
            </w:pPr>
            <w:r>
              <w:rPr>
                <w:rFonts w:ascii="Times New Roman" w:hAnsi="Times New Roman"/>
                <w:sz w:val="19"/>
              </w:rPr>
              <w:t>26</w:t>
            </w:r>
          </w:p>
        </w:tc>
      </w:tr>
      <w:tr>
        <w:tc>
          <w:tcPr>
            <w:tcW w:type="dxa" w:w="1728"/>
            <w:tcMar>
              <w:top w:w="50" w:type="dxa"/>
              <w:bottom w:w="50" w:type="dxa"/>
              <w:left w:w="80" w:type="dxa"/>
              <w:right w:w="60" w:type="dxa"/>
            </w:tcMar>
          </w:tcPr>
          <w:p>
            <w:pPr>
              <w:jc w:val="center"/>
            </w:pPr>
            <w:r>
              <w:rPr>
                <w:rFonts w:ascii="Times New Roman" w:hAnsi="Times New Roman"/>
                <w:b/>
                <w:sz w:val="19"/>
              </w:rPr>
              <w:t>Figure 3.3</w:t>
            </w:r>
          </w:p>
        </w:tc>
        <w:tc>
          <w:tcPr>
            <w:tcW w:type="dxa" w:w="6336"/>
            <w:tcMar>
              <w:top w:w="50" w:type="dxa"/>
              <w:bottom w:w="50" w:type="dxa"/>
              <w:left w:w="80" w:type="dxa"/>
              <w:right w:w="60" w:type="dxa"/>
            </w:tcMar>
          </w:tcPr>
          <w:p>
            <w:pPr>
              <w:jc w:val="left"/>
            </w:pPr>
            <w:r>
              <w:rPr>
                <w:rFonts w:ascii="Times New Roman" w:hAnsi="Times New Roman"/>
                <w:sz w:val="19"/>
              </w:rPr>
              <w:t>Data Flow Diagrams: Level 0 Context and Level 1 Functional Decomposition</w:t>
            </w:r>
          </w:p>
        </w:tc>
        <w:tc>
          <w:tcPr>
            <w:tcW w:type="dxa" w:w="1296"/>
            <w:tcMar>
              <w:top w:w="50" w:type="dxa"/>
              <w:bottom w:w="50" w:type="dxa"/>
              <w:left w:w="80" w:type="dxa"/>
              <w:right w:w="60" w:type="dxa"/>
            </w:tcMar>
          </w:tcPr>
          <w:p>
            <w:pPr>
              <w:jc w:val="center"/>
            </w:pPr>
            <w:r>
              <w:rPr>
                <w:rFonts w:ascii="Times New Roman" w:hAnsi="Times New Roman"/>
                <w:sz w:val="19"/>
              </w:rPr>
              <w:t>27</w:t>
            </w:r>
          </w:p>
        </w:tc>
      </w:tr>
      <w:tr>
        <w:tc>
          <w:tcPr>
            <w:tcW w:type="dxa" w:w="1728"/>
            <w:tcMar>
              <w:top w:w="50" w:type="dxa"/>
              <w:bottom w:w="50" w:type="dxa"/>
              <w:left w:w="80" w:type="dxa"/>
              <w:right w:w="60" w:type="dxa"/>
            </w:tcMar>
          </w:tcPr>
          <w:p>
            <w:pPr>
              <w:jc w:val="center"/>
            </w:pPr>
            <w:r>
              <w:rPr>
                <w:rFonts w:ascii="Times New Roman" w:hAnsi="Times New Roman"/>
                <w:b/>
                <w:sz w:val="19"/>
              </w:rPr>
              <w:t>Figure 3.4</w:t>
            </w:r>
          </w:p>
        </w:tc>
        <w:tc>
          <w:tcPr>
            <w:tcW w:type="dxa" w:w="6336"/>
            <w:tcMar>
              <w:top w:w="50" w:type="dxa"/>
              <w:bottom w:w="50" w:type="dxa"/>
              <w:left w:w="80" w:type="dxa"/>
              <w:right w:w="60" w:type="dxa"/>
            </w:tcMar>
          </w:tcPr>
          <w:p>
            <w:pPr>
              <w:jc w:val="left"/>
            </w:pPr>
            <w:r>
              <w:rPr>
                <w:rFonts w:ascii="Times New Roman" w:hAnsi="Times New Roman"/>
                <w:sz w:val="19"/>
              </w:rPr>
              <w:t>UML Class Diagram of RetainIQ Domain Models and Pipeline Classes</w:t>
            </w:r>
          </w:p>
        </w:tc>
        <w:tc>
          <w:tcPr>
            <w:tcW w:type="dxa" w:w="1296"/>
            <w:tcMar>
              <w:top w:w="50" w:type="dxa"/>
              <w:bottom w:w="50" w:type="dxa"/>
              <w:left w:w="80" w:type="dxa"/>
              <w:right w:w="60" w:type="dxa"/>
            </w:tcMar>
          </w:tcPr>
          <w:p>
            <w:pPr>
              <w:jc w:val="center"/>
            </w:pPr>
            <w:r>
              <w:rPr>
                <w:rFonts w:ascii="Times New Roman" w:hAnsi="Times New Roman"/>
                <w:sz w:val="19"/>
              </w:rPr>
              <w:t>28</w:t>
            </w:r>
          </w:p>
        </w:tc>
      </w:tr>
      <w:tr>
        <w:tc>
          <w:tcPr>
            <w:tcW w:type="dxa" w:w="1728"/>
            <w:tcMar>
              <w:top w:w="50" w:type="dxa"/>
              <w:bottom w:w="50" w:type="dxa"/>
              <w:left w:w="80" w:type="dxa"/>
              <w:right w:w="60" w:type="dxa"/>
            </w:tcMar>
          </w:tcPr>
          <w:p>
            <w:pPr>
              <w:jc w:val="center"/>
            </w:pPr>
            <w:r>
              <w:rPr>
                <w:rFonts w:ascii="Times New Roman" w:hAnsi="Times New Roman"/>
                <w:b/>
                <w:sz w:val="19"/>
              </w:rPr>
              <w:t>Figure 3.5</w:t>
            </w:r>
          </w:p>
        </w:tc>
        <w:tc>
          <w:tcPr>
            <w:tcW w:type="dxa" w:w="6336"/>
            <w:tcMar>
              <w:top w:w="50" w:type="dxa"/>
              <w:bottom w:w="50" w:type="dxa"/>
              <w:left w:w="80" w:type="dxa"/>
              <w:right w:w="60" w:type="dxa"/>
            </w:tcMar>
          </w:tcPr>
          <w:p>
            <w:pPr>
              <w:jc w:val="left"/>
            </w:pPr>
            <w:r>
              <w:rPr>
                <w:rFonts w:ascii="Times New Roman" w:hAnsi="Times New Roman"/>
                <w:sz w:val="19"/>
              </w:rPr>
              <w:t>UML Sequence Diagram: Asynchronous Customer Scoring and Prescription Lifecycle</w:t>
            </w:r>
          </w:p>
        </w:tc>
        <w:tc>
          <w:tcPr>
            <w:tcW w:type="dxa" w:w="1296"/>
            <w:tcMar>
              <w:top w:w="50" w:type="dxa"/>
              <w:bottom w:w="50" w:type="dxa"/>
              <w:left w:w="80" w:type="dxa"/>
              <w:right w:w="60" w:type="dxa"/>
            </w:tcMar>
          </w:tcPr>
          <w:p>
            <w:pPr>
              <w:jc w:val="center"/>
            </w:pPr>
            <w:r>
              <w:rPr>
                <w:rFonts w:ascii="Times New Roman" w:hAnsi="Times New Roman"/>
                <w:sz w:val="19"/>
              </w:rPr>
              <w:t>29</w:t>
            </w:r>
          </w:p>
        </w:tc>
      </w:tr>
      <w:tr>
        <w:tc>
          <w:tcPr>
            <w:tcW w:type="dxa" w:w="1728"/>
            <w:tcMar>
              <w:top w:w="50" w:type="dxa"/>
              <w:bottom w:w="50" w:type="dxa"/>
              <w:left w:w="80" w:type="dxa"/>
              <w:right w:w="60" w:type="dxa"/>
            </w:tcMar>
          </w:tcPr>
          <w:p>
            <w:pPr>
              <w:jc w:val="center"/>
            </w:pPr>
            <w:r>
              <w:rPr>
                <w:rFonts w:ascii="Times New Roman" w:hAnsi="Times New Roman"/>
                <w:b/>
                <w:sz w:val="19"/>
              </w:rPr>
              <w:t>Figure 3.6</w:t>
            </w:r>
          </w:p>
        </w:tc>
        <w:tc>
          <w:tcPr>
            <w:tcW w:type="dxa" w:w="6336"/>
            <w:tcMar>
              <w:top w:w="50" w:type="dxa"/>
              <w:bottom w:w="50" w:type="dxa"/>
              <w:left w:w="80" w:type="dxa"/>
              <w:right w:w="60" w:type="dxa"/>
            </w:tcMar>
          </w:tcPr>
          <w:p>
            <w:pPr>
              <w:jc w:val="left"/>
            </w:pPr>
            <w:r>
              <w:rPr>
                <w:rFonts w:ascii="Times New Roman" w:hAnsi="Times New Roman"/>
                <w:sz w:val="19"/>
              </w:rPr>
              <w:t>UML State Machine and Enterprise Use-Case Interaction Architecture</w:t>
            </w:r>
          </w:p>
        </w:tc>
        <w:tc>
          <w:tcPr>
            <w:tcW w:type="dxa" w:w="1296"/>
            <w:tcMar>
              <w:top w:w="50" w:type="dxa"/>
              <w:bottom w:w="50" w:type="dxa"/>
              <w:left w:w="80" w:type="dxa"/>
              <w:right w:w="60" w:type="dxa"/>
            </w:tcMar>
          </w:tcPr>
          <w:p>
            <w:pPr>
              <w:jc w:val="center"/>
            </w:pPr>
            <w:r>
              <w:rPr>
                <w:rFonts w:ascii="Times New Roman" w:hAnsi="Times New Roman"/>
                <w:sz w:val="19"/>
              </w:rPr>
              <w:t>30</w:t>
            </w:r>
          </w:p>
        </w:tc>
      </w:tr>
      <w:tr>
        <w:tc>
          <w:tcPr>
            <w:tcW w:type="dxa" w:w="1728"/>
            <w:tcMar>
              <w:top w:w="50" w:type="dxa"/>
              <w:bottom w:w="50" w:type="dxa"/>
              <w:left w:w="80" w:type="dxa"/>
              <w:right w:w="60" w:type="dxa"/>
            </w:tcMar>
          </w:tcPr>
          <w:p>
            <w:pPr>
              <w:jc w:val="center"/>
            </w:pPr>
            <w:r>
              <w:rPr>
                <w:rFonts w:ascii="Times New Roman" w:hAnsi="Times New Roman"/>
                <w:b/>
                <w:sz w:val="19"/>
              </w:rPr>
              <w:t>Figure 5.1</w:t>
            </w:r>
          </w:p>
        </w:tc>
        <w:tc>
          <w:tcPr>
            <w:tcW w:type="dxa" w:w="6336"/>
            <w:tcMar>
              <w:top w:w="50" w:type="dxa"/>
              <w:bottom w:w="50" w:type="dxa"/>
              <w:left w:w="80" w:type="dxa"/>
              <w:right w:w="60" w:type="dxa"/>
            </w:tcMar>
          </w:tcPr>
          <w:p>
            <w:pPr>
              <w:jc w:val="left"/>
            </w:pPr>
            <w:r>
              <w:rPr>
                <w:rFonts w:ascii="Times New Roman" w:hAnsi="Times New Roman"/>
                <w:sz w:val="19"/>
              </w:rPr>
              <w:t>Kaplan-Meier Baseline Survival Probability Curve with 95% Confidence Intervals</w:t>
            </w:r>
          </w:p>
        </w:tc>
        <w:tc>
          <w:tcPr>
            <w:tcW w:type="dxa" w:w="1296"/>
            <w:tcMar>
              <w:top w:w="50" w:type="dxa"/>
              <w:bottom w:w="50" w:type="dxa"/>
              <w:left w:w="80" w:type="dxa"/>
              <w:right w:w="60" w:type="dxa"/>
            </w:tcMar>
          </w:tcPr>
          <w:p>
            <w:pPr>
              <w:jc w:val="center"/>
            </w:pPr>
            <w:r>
              <w:rPr>
                <w:rFonts w:ascii="Times New Roman" w:hAnsi="Times New Roman"/>
                <w:sz w:val="19"/>
              </w:rPr>
              <w:t>41</w:t>
            </w:r>
          </w:p>
        </w:tc>
      </w:tr>
      <w:tr>
        <w:tc>
          <w:tcPr>
            <w:tcW w:type="dxa" w:w="1728"/>
            <w:tcMar>
              <w:top w:w="50" w:type="dxa"/>
              <w:bottom w:w="50" w:type="dxa"/>
              <w:left w:w="80" w:type="dxa"/>
              <w:right w:w="60" w:type="dxa"/>
            </w:tcMar>
          </w:tcPr>
          <w:p>
            <w:pPr>
              <w:jc w:val="center"/>
            </w:pPr>
            <w:r>
              <w:rPr>
                <w:rFonts w:ascii="Times New Roman" w:hAnsi="Times New Roman"/>
                <w:b/>
                <w:sz w:val="19"/>
              </w:rPr>
              <w:t>Figure 5.2</w:t>
            </w:r>
          </w:p>
        </w:tc>
        <w:tc>
          <w:tcPr>
            <w:tcW w:type="dxa" w:w="6336"/>
            <w:tcMar>
              <w:top w:w="50" w:type="dxa"/>
              <w:bottom w:w="50" w:type="dxa"/>
              <w:left w:w="80" w:type="dxa"/>
              <w:right w:w="60" w:type="dxa"/>
            </w:tcMar>
          </w:tcPr>
          <w:p>
            <w:pPr>
              <w:jc w:val="left"/>
            </w:pPr>
            <w:r>
              <w:rPr>
                <w:rFonts w:ascii="Times New Roman" w:hAnsi="Times New Roman"/>
                <w:sz w:val="19"/>
              </w:rPr>
              <w:t>Kaplan-Meier Survival Curves Stratified by Customer Contract Type (Log-Rank p &lt; 0.0001)</w:t>
            </w:r>
          </w:p>
        </w:tc>
        <w:tc>
          <w:tcPr>
            <w:tcW w:type="dxa" w:w="1296"/>
            <w:tcMar>
              <w:top w:w="50" w:type="dxa"/>
              <w:bottom w:w="50" w:type="dxa"/>
              <w:left w:w="80" w:type="dxa"/>
              <w:right w:w="60" w:type="dxa"/>
            </w:tcMar>
          </w:tcPr>
          <w:p>
            <w:pPr>
              <w:jc w:val="center"/>
            </w:pPr>
            <w:r>
              <w:rPr>
                <w:rFonts w:ascii="Times New Roman" w:hAnsi="Times New Roman"/>
                <w:sz w:val="19"/>
              </w:rPr>
              <w:t>42</w:t>
            </w:r>
          </w:p>
        </w:tc>
      </w:tr>
      <w:tr>
        <w:tc>
          <w:tcPr>
            <w:tcW w:type="dxa" w:w="1728"/>
            <w:tcMar>
              <w:top w:w="50" w:type="dxa"/>
              <w:bottom w:w="50" w:type="dxa"/>
              <w:left w:w="80" w:type="dxa"/>
              <w:right w:w="60" w:type="dxa"/>
            </w:tcMar>
          </w:tcPr>
          <w:p>
            <w:pPr>
              <w:jc w:val="center"/>
            </w:pPr>
            <w:r>
              <w:rPr>
                <w:rFonts w:ascii="Times New Roman" w:hAnsi="Times New Roman"/>
                <w:b/>
                <w:sz w:val="19"/>
              </w:rPr>
              <w:t>Figure 5.3</w:t>
            </w:r>
          </w:p>
        </w:tc>
        <w:tc>
          <w:tcPr>
            <w:tcW w:type="dxa" w:w="6336"/>
            <w:tcMar>
              <w:top w:w="50" w:type="dxa"/>
              <w:bottom w:w="50" w:type="dxa"/>
              <w:left w:w="80" w:type="dxa"/>
              <w:right w:w="60" w:type="dxa"/>
            </w:tcMar>
          </w:tcPr>
          <w:p>
            <w:pPr>
              <w:jc w:val="left"/>
            </w:pPr>
            <w:r>
              <w:rPr>
                <w:rFonts w:ascii="Times New Roman" w:hAnsi="Times New Roman"/>
                <w:sz w:val="19"/>
              </w:rPr>
              <w:t>Kaplan-Meier Survival Curves Stratified by Internet Service Architecture</w:t>
            </w:r>
          </w:p>
        </w:tc>
        <w:tc>
          <w:tcPr>
            <w:tcW w:type="dxa" w:w="1296"/>
            <w:tcMar>
              <w:top w:w="50" w:type="dxa"/>
              <w:bottom w:w="50" w:type="dxa"/>
              <w:left w:w="80" w:type="dxa"/>
              <w:right w:w="60" w:type="dxa"/>
            </w:tcMar>
          </w:tcPr>
          <w:p>
            <w:pPr>
              <w:jc w:val="center"/>
            </w:pPr>
            <w:r>
              <w:rPr>
                <w:rFonts w:ascii="Times New Roman" w:hAnsi="Times New Roman"/>
                <w:sz w:val="19"/>
              </w:rPr>
              <w:t>43</w:t>
            </w:r>
          </w:p>
        </w:tc>
      </w:tr>
      <w:tr>
        <w:tc>
          <w:tcPr>
            <w:tcW w:type="dxa" w:w="1728"/>
            <w:tcMar>
              <w:top w:w="50" w:type="dxa"/>
              <w:bottom w:w="50" w:type="dxa"/>
              <w:left w:w="80" w:type="dxa"/>
              <w:right w:w="60" w:type="dxa"/>
            </w:tcMar>
          </w:tcPr>
          <w:p>
            <w:pPr>
              <w:jc w:val="center"/>
            </w:pPr>
            <w:r>
              <w:rPr>
                <w:rFonts w:ascii="Times New Roman" w:hAnsi="Times New Roman"/>
                <w:b/>
                <w:sz w:val="19"/>
              </w:rPr>
              <w:t>Figure 5.4</w:t>
            </w:r>
          </w:p>
        </w:tc>
        <w:tc>
          <w:tcPr>
            <w:tcW w:type="dxa" w:w="6336"/>
            <w:tcMar>
              <w:top w:w="50" w:type="dxa"/>
              <w:bottom w:w="50" w:type="dxa"/>
              <w:left w:w="80" w:type="dxa"/>
              <w:right w:w="60" w:type="dxa"/>
            </w:tcMar>
          </w:tcPr>
          <w:p>
            <w:pPr>
              <w:jc w:val="left"/>
            </w:pPr>
            <w:r>
              <w:rPr>
                <w:rFonts w:ascii="Times New Roman" w:hAnsi="Times New Roman"/>
                <w:sz w:val="19"/>
              </w:rPr>
              <w:t>Benchmark Model Comparison: Concordance Index and Integrated Brier Score Across Splits</w:t>
            </w:r>
          </w:p>
        </w:tc>
        <w:tc>
          <w:tcPr>
            <w:tcW w:type="dxa" w:w="1296"/>
            <w:tcMar>
              <w:top w:w="50" w:type="dxa"/>
              <w:bottom w:w="50" w:type="dxa"/>
              <w:left w:w="80" w:type="dxa"/>
              <w:right w:w="60" w:type="dxa"/>
            </w:tcMar>
          </w:tcPr>
          <w:p>
            <w:pPr>
              <w:jc w:val="center"/>
            </w:pPr>
            <w:r>
              <w:rPr>
                <w:rFonts w:ascii="Times New Roman" w:hAnsi="Times New Roman"/>
                <w:sz w:val="19"/>
              </w:rPr>
              <w:t>43</w:t>
            </w:r>
          </w:p>
        </w:tc>
      </w:tr>
      <w:tr>
        <w:tc>
          <w:tcPr>
            <w:tcW w:type="dxa" w:w="1728"/>
            <w:tcMar>
              <w:top w:w="50" w:type="dxa"/>
              <w:bottom w:w="50" w:type="dxa"/>
              <w:left w:w="80" w:type="dxa"/>
              <w:right w:w="60" w:type="dxa"/>
            </w:tcMar>
          </w:tcPr>
          <w:p>
            <w:pPr>
              <w:jc w:val="center"/>
            </w:pPr>
            <w:r>
              <w:rPr>
                <w:rFonts w:ascii="Times New Roman" w:hAnsi="Times New Roman"/>
                <w:b/>
                <w:sz w:val="19"/>
              </w:rPr>
              <w:t>Figure 5.5</w:t>
            </w:r>
          </w:p>
        </w:tc>
        <w:tc>
          <w:tcPr>
            <w:tcW w:type="dxa" w:w="6336"/>
            <w:tcMar>
              <w:top w:w="50" w:type="dxa"/>
              <w:bottom w:w="50" w:type="dxa"/>
              <w:left w:w="80" w:type="dxa"/>
              <w:right w:w="60" w:type="dxa"/>
            </w:tcMar>
          </w:tcPr>
          <w:p>
            <w:pPr>
              <w:jc w:val="left"/>
            </w:pPr>
            <w:r>
              <w:rPr>
                <w:rFonts w:ascii="Times New Roman" w:hAnsi="Times New Roman"/>
                <w:sz w:val="19"/>
              </w:rPr>
              <w:t>Time-Dependent Probability Calibration Curve at the 90-Day Operational Horizon</w:t>
            </w:r>
          </w:p>
        </w:tc>
        <w:tc>
          <w:tcPr>
            <w:tcW w:type="dxa" w:w="1296"/>
            <w:tcMar>
              <w:top w:w="50" w:type="dxa"/>
              <w:bottom w:w="50" w:type="dxa"/>
              <w:left w:w="80" w:type="dxa"/>
              <w:right w:w="60" w:type="dxa"/>
            </w:tcMar>
          </w:tcPr>
          <w:p>
            <w:pPr>
              <w:jc w:val="center"/>
            </w:pPr>
            <w:r>
              <w:rPr>
                <w:rFonts w:ascii="Times New Roman" w:hAnsi="Times New Roman"/>
                <w:sz w:val="19"/>
              </w:rPr>
              <w:t>44</w:t>
            </w:r>
          </w:p>
        </w:tc>
      </w:tr>
      <w:tr>
        <w:tc>
          <w:tcPr>
            <w:tcW w:type="dxa" w:w="1728"/>
            <w:tcMar>
              <w:top w:w="50" w:type="dxa"/>
              <w:bottom w:w="50" w:type="dxa"/>
              <w:left w:w="80" w:type="dxa"/>
              <w:right w:w="60" w:type="dxa"/>
            </w:tcMar>
          </w:tcPr>
          <w:p>
            <w:pPr>
              <w:jc w:val="center"/>
            </w:pPr>
            <w:r>
              <w:rPr>
                <w:rFonts w:ascii="Times New Roman" w:hAnsi="Times New Roman"/>
                <w:b/>
                <w:sz w:val="19"/>
              </w:rPr>
              <w:t>Figure 5.6</w:t>
            </w:r>
          </w:p>
        </w:tc>
        <w:tc>
          <w:tcPr>
            <w:tcW w:type="dxa" w:w="6336"/>
            <w:tcMar>
              <w:top w:w="50" w:type="dxa"/>
              <w:bottom w:w="50" w:type="dxa"/>
              <w:left w:w="80" w:type="dxa"/>
              <w:right w:w="60" w:type="dxa"/>
            </w:tcMar>
          </w:tcPr>
          <w:p>
            <w:pPr>
              <w:jc w:val="left"/>
            </w:pPr>
            <w:r>
              <w:rPr>
                <w:rFonts w:ascii="Times New Roman" w:hAnsi="Times New Roman"/>
                <w:sz w:val="19"/>
              </w:rPr>
              <w:t>Conditional Average Treatment Effect (CATE) Distributions Across Four Interventions</w:t>
            </w:r>
          </w:p>
        </w:tc>
        <w:tc>
          <w:tcPr>
            <w:tcW w:type="dxa" w:w="1296"/>
            <w:tcMar>
              <w:top w:w="50" w:type="dxa"/>
              <w:bottom w:w="50" w:type="dxa"/>
              <w:left w:w="80" w:type="dxa"/>
              <w:right w:w="60" w:type="dxa"/>
            </w:tcMar>
          </w:tcPr>
          <w:p>
            <w:pPr>
              <w:jc w:val="center"/>
            </w:pPr>
            <w:r>
              <w:rPr>
                <w:rFonts w:ascii="Times New Roman" w:hAnsi="Times New Roman"/>
                <w:sz w:val="19"/>
              </w:rPr>
              <w:t>45</w:t>
            </w:r>
          </w:p>
        </w:tc>
      </w:tr>
      <w:tr>
        <w:tc>
          <w:tcPr>
            <w:tcW w:type="dxa" w:w="1728"/>
            <w:tcMar>
              <w:top w:w="50" w:type="dxa"/>
              <w:bottom w:w="50" w:type="dxa"/>
              <w:left w:w="80" w:type="dxa"/>
              <w:right w:w="60" w:type="dxa"/>
            </w:tcMar>
          </w:tcPr>
          <w:p>
            <w:pPr>
              <w:jc w:val="center"/>
            </w:pPr>
            <w:r>
              <w:rPr>
                <w:rFonts w:ascii="Times New Roman" w:hAnsi="Times New Roman"/>
                <w:b/>
                <w:sz w:val="19"/>
              </w:rPr>
              <w:t>Figure 5.7</w:t>
            </w:r>
          </w:p>
        </w:tc>
        <w:tc>
          <w:tcPr>
            <w:tcW w:type="dxa" w:w="6336"/>
            <w:tcMar>
              <w:top w:w="50" w:type="dxa"/>
              <w:bottom w:w="50" w:type="dxa"/>
              <w:left w:w="80" w:type="dxa"/>
              <w:right w:w="60" w:type="dxa"/>
            </w:tcMar>
          </w:tcPr>
          <w:p>
            <w:pPr>
              <w:jc w:val="left"/>
            </w:pPr>
            <w:r>
              <w:rPr>
                <w:rFonts w:ascii="Times New Roman" w:hAnsi="Times New Roman"/>
                <w:sz w:val="19"/>
              </w:rPr>
              <w:t>Portfolio Expected Retention Value (ERV) and Net ROI Frontier Under Budget Constraints</w:t>
            </w:r>
          </w:p>
        </w:tc>
        <w:tc>
          <w:tcPr>
            <w:tcW w:type="dxa" w:w="1296"/>
            <w:tcMar>
              <w:top w:w="50" w:type="dxa"/>
              <w:bottom w:w="50" w:type="dxa"/>
              <w:left w:w="80" w:type="dxa"/>
              <w:right w:w="60" w:type="dxa"/>
            </w:tcMar>
          </w:tcPr>
          <w:p>
            <w:pPr>
              <w:jc w:val="center"/>
            </w:pPr>
            <w:r>
              <w:rPr>
                <w:rFonts w:ascii="Times New Roman" w:hAnsi="Times New Roman"/>
                <w:sz w:val="19"/>
              </w:rPr>
              <w:t>46</w:t>
            </w:r>
          </w:p>
        </w:tc>
      </w:tr>
      <w:tr>
        <w:tc>
          <w:tcPr>
            <w:tcW w:type="dxa" w:w="1728"/>
            <w:tcMar>
              <w:top w:w="50" w:type="dxa"/>
              <w:bottom w:w="50" w:type="dxa"/>
              <w:left w:w="80" w:type="dxa"/>
              <w:right w:w="60" w:type="dxa"/>
            </w:tcMar>
          </w:tcPr>
          <w:p>
            <w:pPr>
              <w:jc w:val="center"/>
            </w:pPr>
            <w:r>
              <w:rPr>
                <w:rFonts w:ascii="Times New Roman" w:hAnsi="Times New Roman"/>
                <w:b/>
                <w:sz w:val="19"/>
              </w:rPr>
              <w:t>Figure 5.8</w:t>
            </w:r>
          </w:p>
        </w:tc>
        <w:tc>
          <w:tcPr>
            <w:tcW w:type="dxa" w:w="6336"/>
            <w:tcMar>
              <w:top w:w="50" w:type="dxa"/>
              <w:bottom w:w="50" w:type="dxa"/>
              <w:left w:w="80" w:type="dxa"/>
              <w:right w:w="60" w:type="dxa"/>
            </w:tcMar>
          </w:tcPr>
          <w:p>
            <w:pPr>
              <w:jc w:val="left"/>
            </w:pPr>
            <w:r>
              <w:rPr>
                <w:rFonts w:ascii="Times New Roman" w:hAnsi="Times New Roman"/>
                <w:sz w:val="19"/>
              </w:rPr>
              <w:t>Cox Proportional Hazards Forest Plot with 95% Hazard Ratio Confidence Intervals</w:t>
            </w:r>
          </w:p>
        </w:tc>
        <w:tc>
          <w:tcPr>
            <w:tcW w:type="dxa" w:w="1296"/>
            <w:tcMar>
              <w:top w:w="50" w:type="dxa"/>
              <w:bottom w:w="50" w:type="dxa"/>
              <w:left w:w="80" w:type="dxa"/>
              <w:right w:w="60" w:type="dxa"/>
            </w:tcMar>
          </w:tcPr>
          <w:p>
            <w:pPr>
              <w:jc w:val="center"/>
            </w:pPr>
            <w:r>
              <w:rPr>
                <w:rFonts w:ascii="Times New Roman" w:hAnsi="Times New Roman"/>
                <w:sz w:val="19"/>
              </w:rPr>
              <w:t>47</w:t>
            </w:r>
          </w:p>
        </w:tc>
      </w:tr>
      <w:tr>
        <w:tc>
          <w:tcPr>
            <w:tcW w:type="dxa" w:w="1728"/>
            <w:tcMar>
              <w:top w:w="50" w:type="dxa"/>
              <w:bottom w:w="50" w:type="dxa"/>
              <w:left w:w="80" w:type="dxa"/>
              <w:right w:w="60" w:type="dxa"/>
            </w:tcMar>
          </w:tcPr>
          <w:p>
            <w:pPr>
              <w:jc w:val="center"/>
            </w:pPr>
            <w:r>
              <w:rPr>
                <w:rFonts w:ascii="Times New Roman" w:hAnsi="Times New Roman"/>
                <w:b/>
                <w:sz w:val="19"/>
              </w:rPr>
              <w:t>Figure 5.9</w:t>
            </w:r>
          </w:p>
        </w:tc>
        <w:tc>
          <w:tcPr>
            <w:tcW w:type="dxa" w:w="6336"/>
            <w:tcMar>
              <w:top w:w="50" w:type="dxa"/>
              <w:bottom w:w="50" w:type="dxa"/>
              <w:left w:w="80" w:type="dxa"/>
              <w:right w:w="60" w:type="dxa"/>
            </w:tcMar>
          </w:tcPr>
          <w:p>
            <w:pPr>
              <w:jc w:val="left"/>
            </w:pPr>
            <w:r>
              <w:rPr>
                <w:rFonts w:ascii="Times New Roman" w:hAnsi="Times New Roman"/>
                <w:sz w:val="19"/>
              </w:rPr>
              <w:t>Global Permutation Feature Importance for Survival Hazard Attribution</w:t>
            </w:r>
          </w:p>
        </w:tc>
        <w:tc>
          <w:tcPr>
            <w:tcW w:type="dxa" w:w="1296"/>
            <w:tcMar>
              <w:top w:w="50" w:type="dxa"/>
              <w:bottom w:w="50" w:type="dxa"/>
              <w:left w:w="80" w:type="dxa"/>
              <w:right w:w="60" w:type="dxa"/>
            </w:tcMar>
          </w:tcPr>
          <w:p>
            <w:pPr>
              <w:jc w:val="center"/>
            </w:pPr>
            <w:r>
              <w:rPr>
                <w:rFonts w:ascii="Times New Roman" w:hAnsi="Times New Roman"/>
                <w:sz w:val="19"/>
              </w:rPr>
              <w:t>47</w:t>
            </w:r>
          </w:p>
        </w:tc>
      </w:tr>
      <w:tr>
        <w:tc>
          <w:tcPr>
            <w:tcW w:type="dxa" w:w="1728"/>
            <w:tcMar>
              <w:top w:w="50" w:type="dxa"/>
              <w:bottom w:w="50" w:type="dxa"/>
              <w:left w:w="80" w:type="dxa"/>
              <w:right w:w="60" w:type="dxa"/>
            </w:tcMar>
          </w:tcPr>
          <w:p>
            <w:pPr>
              <w:jc w:val="center"/>
            </w:pPr>
            <w:r>
              <w:rPr>
                <w:rFonts w:ascii="Times New Roman" w:hAnsi="Times New Roman"/>
                <w:b/>
                <w:sz w:val="19"/>
              </w:rPr>
              <w:t>Figure 5.10</w:t>
            </w:r>
          </w:p>
        </w:tc>
        <w:tc>
          <w:tcPr>
            <w:tcW w:type="dxa" w:w="6336"/>
            <w:tcMar>
              <w:top w:w="50" w:type="dxa"/>
              <w:bottom w:w="50" w:type="dxa"/>
              <w:left w:w="80" w:type="dxa"/>
              <w:right w:w="60" w:type="dxa"/>
            </w:tcMar>
          </w:tcPr>
          <w:p>
            <w:pPr>
              <w:jc w:val="left"/>
            </w:pPr>
            <w:r>
              <w:rPr>
                <w:rFonts w:ascii="Times New Roman" w:hAnsi="Times New Roman"/>
                <w:sz w:val="19"/>
              </w:rPr>
              <w:t>System Robustness Degradation Curves Under Feature Missingness and Gaussian Noise</w:t>
            </w:r>
          </w:p>
        </w:tc>
        <w:tc>
          <w:tcPr>
            <w:tcW w:type="dxa" w:w="1296"/>
            <w:tcMar>
              <w:top w:w="50" w:type="dxa"/>
              <w:bottom w:w="50" w:type="dxa"/>
              <w:left w:w="80" w:type="dxa"/>
              <w:right w:w="60" w:type="dxa"/>
            </w:tcMar>
          </w:tcPr>
          <w:p>
            <w:pPr>
              <w:jc w:val="center"/>
            </w:pPr>
            <w:r>
              <w:rPr>
                <w:rFonts w:ascii="Times New Roman" w:hAnsi="Times New Roman"/>
                <w:sz w:val="19"/>
              </w:rPr>
              <w:t>49</w:t>
            </w:r>
          </w:p>
        </w:tc>
      </w:tr>
      <w:tr>
        <w:tc>
          <w:tcPr>
            <w:tcW w:type="dxa" w:w="1728"/>
            <w:tcMar>
              <w:top w:w="50" w:type="dxa"/>
              <w:bottom w:w="50" w:type="dxa"/>
              <w:left w:w="80" w:type="dxa"/>
              <w:right w:w="60" w:type="dxa"/>
            </w:tcMar>
          </w:tcPr>
          <w:p>
            <w:pPr>
              <w:jc w:val="center"/>
            </w:pPr>
            <w:r>
              <w:rPr>
                <w:rFonts w:ascii="Times New Roman" w:hAnsi="Times New Roman"/>
                <w:b/>
                <w:sz w:val="19"/>
              </w:rPr>
              <w:t>Figure 5.11</w:t>
            </w:r>
          </w:p>
        </w:tc>
        <w:tc>
          <w:tcPr>
            <w:tcW w:type="dxa" w:w="6336"/>
            <w:tcMar>
              <w:top w:w="50" w:type="dxa"/>
              <w:bottom w:w="50" w:type="dxa"/>
              <w:left w:w="80" w:type="dxa"/>
              <w:right w:w="60" w:type="dxa"/>
            </w:tcMar>
          </w:tcPr>
          <w:p>
            <w:pPr>
              <w:jc w:val="left"/>
            </w:pPr>
            <w:r>
              <w:rPr>
                <w:rFonts w:ascii="Times New Roman" w:hAnsi="Times New Roman"/>
                <w:sz w:val="19"/>
              </w:rPr>
              <w:t>RetainIQ Streamlit Dashboard: Executive Portfolio Overview &amp; Risk Stratification Cockpit</w:t>
            </w:r>
          </w:p>
        </w:tc>
        <w:tc>
          <w:tcPr>
            <w:tcW w:type="dxa" w:w="1296"/>
            <w:tcMar>
              <w:top w:w="50" w:type="dxa"/>
              <w:bottom w:w="50" w:type="dxa"/>
              <w:left w:w="80" w:type="dxa"/>
              <w:right w:w="60" w:type="dxa"/>
            </w:tcMar>
          </w:tcPr>
          <w:p>
            <w:pPr>
              <w:jc w:val="center"/>
            </w:pPr>
            <w:r>
              <w:rPr>
                <w:rFonts w:ascii="Times New Roman" w:hAnsi="Times New Roman"/>
                <w:sz w:val="19"/>
              </w:rPr>
              <w:t>50</w:t>
            </w:r>
          </w:p>
        </w:tc>
      </w:tr>
      <w:tr>
        <w:tc>
          <w:tcPr>
            <w:tcW w:type="dxa" w:w="1728"/>
            <w:tcMar>
              <w:top w:w="50" w:type="dxa"/>
              <w:bottom w:w="50" w:type="dxa"/>
              <w:left w:w="80" w:type="dxa"/>
              <w:right w:w="60" w:type="dxa"/>
            </w:tcMar>
          </w:tcPr>
          <w:p>
            <w:pPr>
              <w:jc w:val="center"/>
            </w:pPr>
            <w:r>
              <w:rPr>
                <w:rFonts w:ascii="Times New Roman" w:hAnsi="Times New Roman"/>
                <w:b/>
                <w:sz w:val="19"/>
              </w:rPr>
              <w:t>Figure 5.12</w:t>
            </w:r>
          </w:p>
        </w:tc>
        <w:tc>
          <w:tcPr>
            <w:tcW w:type="dxa" w:w="6336"/>
            <w:tcMar>
              <w:top w:w="50" w:type="dxa"/>
              <w:bottom w:w="50" w:type="dxa"/>
              <w:left w:w="80" w:type="dxa"/>
              <w:right w:w="60" w:type="dxa"/>
            </w:tcMar>
          </w:tcPr>
          <w:p>
            <w:pPr>
              <w:jc w:val="left"/>
            </w:pPr>
            <w:r>
              <w:rPr>
                <w:rFonts w:ascii="Times New Roman" w:hAnsi="Times New Roman"/>
                <w:sz w:val="19"/>
              </w:rPr>
              <w:t>RetainIQ Streamlit Dashboard: Treatment Studio &amp; Campaign ROI Optimizer</w:t>
            </w:r>
          </w:p>
        </w:tc>
        <w:tc>
          <w:tcPr>
            <w:tcW w:type="dxa" w:w="1296"/>
            <w:tcMar>
              <w:top w:w="50" w:type="dxa"/>
              <w:bottom w:w="50" w:type="dxa"/>
              <w:left w:w="80" w:type="dxa"/>
              <w:right w:w="60" w:type="dxa"/>
            </w:tcMar>
          </w:tcPr>
          <w:p>
            <w:pPr>
              <w:jc w:val="center"/>
            </w:pPr>
            <w:r>
              <w:rPr>
                <w:rFonts w:ascii="Times New Roman" w:hAnsi="Times New Roman"/>
                <w:sz w:val="19"/>
              </w:rPr>
              <w:t>50</w:t>
            </w:r>
          </w:p>
        </w:tc>
      </w:tr>
    </w:tbl>
    <w:p>
      <w:r>
        <w:br w:type="page"/>
      </w:r>
    </w:p>
    <w:p>
      <w:pPr>
        <w:spacing w:before="120" w:after="80" w:line="276" w:lineRule="auto"/>
        <w:jc w:val="center"/>
      </w:pPr>
      <w:r>
        <w:rPr>
          <w:rFonts w:ascii="Times New Roman" w:hAnsi="Times New Roman"/>
          <w:b/>
          <w:color w:val="0F1E41"/>
          <w:sz w:val="26"/>
        </w:rPr>
        <w:t>LIST OF TABLES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1584"/>
            <w:shd w:fill="152035"/>
            <w:tcMar>
              <w:top w:w="35" w:type="dxa"/>
              <w:bottom w:w="35" w:type="dxa"/>
              <w:left w:w="60" w:type="dxa"/>
              <w:right w:w="50" w:type="dxa"/>
            </w:tcMar>
          </w:tcPr>
          <w:p>
            <w:pPr>
              <w:spacing w:before="0" w:after="0"/>
              <w:jc w:val="center"/>
            </w:pPr>
            <w:r>
              <w:rPr>
                <w:rFonts w:ascii="Times New Roman" w:hAnsi="Times New Roman"/>
                <w:b/>
                <w:color w:val="FFFFFF"/>
                <w:sz w:val="17"/>
              </w:rPr>
              <w:t>TABLE NO.</w:t>
            </w:r>
          </w:p>
        </w:tc>
        <w:tc>
          <w:tcPr>
            <w:tcW w:type="dxa" w:w="6624"/>
            <w:shd w:fill="152035"/>
            <w:tcMar>
              <w:top w:w="35" w:type="dxa"/>
              <w:bottom w:w="35" w:type="dxa"/>
              <w:left w:w="60" w:type="dxa"/>
              <w:right w:w="50" w:type="dxa"/>
            </w:tcMar>
          </w:tcPr>
          <w:p>
            <w:pPr>
              <w:spacing w:before="0" w:after="0"/>
              <w:jc w:val="left"/>
            </w:pPr>
            <w:r>
              <w:rPr>
                <w:rFonts w:ascii="Times New Roman" w:hAnsi="Times New Roman"/>
                <w:b/>
                <w:color w:val="FFFFFF"/>
                <w:sz w:val="17"/>
              </w:rPr>
              <w:t>TABLE TITLE / DESCRIPTION</w:t>
            </w:r>
          </w:p>
        </w:tc>
        <w:tc>
          <w:tcPr>
            <w:tcW w:type="dxa" w:w="1152"/>
            <w:shd w:fill="152035"/>
            <w:tcMar>
              <w:top w:w="35" w:type="dxa"/>
              <w:bottom w:w="35" w:type="dxa"/>
              <w:left w:w="60" w:type="dxa"/>
              <w:right w:w="50" w:type="dxa"/>
            </w:tcMar>
          </w:tcPr>
          <w:p>
            <w:pPr>
              <w:spacing w:before="0" w:after="0"/>
              <w:jc w:val="center"/>
            </w:pPr>
            <w:r>
              <w:rPr>
                <w:rFonts w:ascii="Times New Roman" w:hAnsi="Times New Roman"/>
                <w:b/>
                <w:color w:val="FFFFFF"/>
                <w:sz w:val="17"/>
              </w:rPr>
              <w:t>PAGE</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2.1</w:t>
            </w:r>
          </w:p>
        </w:tc>
        <w:tc>
          <w:tcPr>
            <w:tcW w:type="dxa" w:w="6624"/>
            <w:tcMar>
              <w:top w:w="18" w:type="dxa"/>
              <w:bottom w:w="18" w:type="dxa"/>
              <w:left w:w="60" w:type="dxa"/>
              <w:right w:w="50" w:type="dxa"/>
            </w:tcMar>
          </w:tcPr>
          <w:p>
            <w:pPr>
              <w:spacing w:before="0" w:after="0"/>
              <w:jc w:val="left"/>
            </w:pPr>
            <w:r>
              <w:rPr>
                <w:rFonts w:ascii="Times New Roman" w:hAnsi="Times New Roman"/>
                <w:sz w:val="16"/>
              </w:rPr>
              <w:t>RetainIQ Hardware Environment Specifications</w:t>
            </w:r>
          </w:p>
        </w:tc>
        <w:tc>
          <w:tcPr>
            <w:tcW w:type="dxa" w:w="1152"/>
            <w:tcMar>
              <w:top w:w="18" w:type="dxa"/>
              <w:bottom w:w="18" w:type="dxa"/>
              <w:left w:w="60" w:type="dxa"/>
              <w:right w:w="50" w:type="dxa"/>
            </w:tcMar>
          </w:tcPr>
          <w:p>
            <w:pPr>
              <w:spacing w:before="0" w:after="0"/>
              <w:jc w:val="center"/>
            </w:pPr>
            <w:r>
              <w:rPr>
                <w:rFonts w:ascii="Times New Roman" w:hAnsi="Times New Roman"/>
                <w:sz w:val="16"/>
              </w:rPr>
              <w:t>21</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2.2</w:t>
            </w:r>
          </w:p>
        </w:tc>
        <w:tc>
          <w:tcPr>
            <w:tcW w:type="dxa" w:w="6624"/>
            <w:tcMar>
              <w:top w:w="18" w:type="dxa"/>
              <w:bottom w:w="18" w:type="dxa"/>
              <w:left w:w="60" w:type="dxa"/>
              <w:right w:w="50" w:type="dxa"/>
            </w:tcMar>
          </w:tcPr>
          <w:p>
            <w:pPr>
              <w:spacing w:before="0" w:after="0"/>
              <w:jc w:val="left"/>
            </w:pPr>
            <w:r>
              <w:rPr>
                <w:rFonts w:ascii="Times New Roman" w:hAnsi="Times New Roman"/>
                <w:sz w:val="16"/>
              </w:rPr>
              <w:t>Software Stack, Dependencies and Engineering Frameworks</w:t>
            </w:r>
          </w:p>
        </w:tc>
        <w:tc>
          <w:tcPr>
            <w:tcW w:type="dxa" w:w="1152"/>
            <w:tcMar>
              <w:top w:w="18" w:type="dxa"/>
              <w:bottom w:w="18" w:type="dxa"/>
              <w:left w:w="60" w:type="dxa"/>
              <w:right w:w="50" w:type="dxa"/>
            </w:tcMar>
          </w:tcPr>
          <w:p>
            <w:pPr>
              <w:spacing w:before="0" w:after="0"/>
              <w:jc w:val="center"/>
            </w:pPr>
            <w:r>
              <w:rPr>
                <w:rFonts w:ascii="Times New Roman" w:hAnsi="Times New Roman"/>
                <w:sz w:val="16"/>
              </w:rPr>
              <w:t>22</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4.1</w:t>
            </w:r>
          </w:p>
        </w:tc>
        <w:tc>
          <w:tcPr>
            <w:tcW w:type="dxa" w:w="6624"/>
            <w:tcMar>
              <w:top w:w="18" w:type="dxa"/>
              <w:bottom w:w="18" w:type="dxa"/>
              <w:left w:w="60" w:type="dxa"/>
              <w:right w:w="50" w:type="dxa"/>
            </w:tcMar>
          </w:tcPr>
          <w:p>
            <w:pPr>
              <w:spacing w:before="0" w:after="0"/>
              <w:jc w:val="left"/>
            </w:pPr>
            <w:r>
              <w:rPr>
                <w:rFonts w:ascii="Times New Roman" w:hAnsi="Times New Roman"/>
                <w:sz w:val="16"/>
              </w:rPr>
              <w:t>Comprehensive Automated Test Results Matrix (27 Test Cases)</w:t>
            </w:r>
          </w:p>
        </w:tc>
        <w:tc>
          <w:tcPr>
            <w:tcW w:type="dxa" w:w="1152"/>
            <w:tcMar>
              <w:top w:w="18" w:type="dxa"/>
              <w:bottom w:w="18" w:type="dxa"/>
              <w:left w:w="60" w:type="dxa"/>
              <w:right w:w="50" w:type="dxa"/>
            </w:tcMar>
          </w:tcPr>
          <w:p>
            <w:pPr>
              <w:spacing w:before="0" w:after="0"/>
              <w:jc w:val="center"/>
            </w:pPr>
            <w:r>
              <w:rPr>
                <w:rFonts w:ascii="Times New Roman" w:hAnsi="Times New Roman"/>
                <w:sz w:val="16"/>
              </w:rPr>
              <w:t>39</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5.1</w:t>
            </w:r>
          </w:p>
        </w:tc>
        <w:tc>
          <w:tcPr>
            <w:tcW w:type="dxa" w:w="6624"/>
            <w:tcMar>
              <w:top w:w="18" w:type="dxa"/>
              <w:bottom w:w="18" w:type="dxa"/>
              <w:left w:w="60" w:type="dxa"/>
              <w:right w:w="50" w:type="dxa"/>
            </w:tcMar>
          </w:tcPr>
          <w:p>
            <w:pPr>
              <w:spacing w:before="0" w:after="0"/>
              <w:jc w:val="left"/>
            </w:pPr>
            <w:r>
              <w:rPr>
                <w:rFonts w:ascii="Times New Roman" w:hAnsi="Times New Roman"/>
                <w:sz w:val="16"/>
              </w:rPr>
              <w:t>IBM Telco Cohort Demographic and Commercial Data Dictionary</w:t>
            </w:r>
          </w:p>
        </w:tc>
        <w:tc>
          <w:tcPr>
            <w:tcW w:type="dxa" w:w="1152"/>
            <w:tcMar>
              <w:top w:w="18" w:type="dxa"/>
              <w:bottom w:w="18" w:type="dxa"/>
              <w:left w:w="60" w:type="dxa"/>
              <w:right w:w="50" w:type="dxa"/>
            </w:tcMar>
          </w:tcPr>
          <w:p>
            <w:pPr>
              <w:spacing w:before="0" w:after="0"/>
              <w:jc w:val="center"/>
            </w:pPr>
            <w:r>
              <w:rPr>
                <w:rFonts w:ascii="Times New Roman" w:hAnsi="Times New Roman"/>
                <w:sz w:val="16"/>
              </w:rPr>
              <w:t>40</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5.2</w:t>
            </w:r>
          </w:p>
        </w:tc>
        <w:tc>
          <w:tcPr>
            <w:tcW w:type="dxa" w:w="6624"/>
            <w:tcMar>
              <w:top w:w="18" w:type="dxa"/>
              <w:bottom w:w="18" w:type="dxa"/>
              <w:left w:w="60" w:type="dxa"/>
              <w:right w:w="50" w:type="dxa"/>
            </w:tcMar>
          </w:tcPr>
          <w:p>
            <w:pPr>
              <w:spacing w:before="0" w:after="0"/>
              <w:jc w:val="left"/>
            </w:pPr>
            <w:r>
              <w:rPr>
                <w:rFonts w:ascii="Times New Roman" w:hAnsi="Times New Roman"/>
                <w:sz w:val="16"/>
              </w:rPr>
              <w:t>Survival Benchmark Model Performance Matrix (C-Index, IBS, Horizon AUC)</w:t>
            </w:r>
          </w:p>
        </w:tc>
        <w:tc>
          <w:tcPr>
            <w:tcW w:type="dxa" w:w="1152"/>
            <w:tcMar>
              <w:top w:w="18" w:type="dxa"/>
              <w:bottom w:w="18" w:type="dxa"/>
              <w:left w:w="60" w:type="dxa"/>
              <w:right w:w="50" w:type="dxa"/>
            </w:tcMar>
          </w:tcPr>
          <w:p>
            <w:pPr>
              <w:spacing w:before="0" w:after="0"/>
              <w:jc w:val="center"/>
            </w:pPr>
            <w:r>
              <w:rPr>
                <w:rFonts w:ascii="Times New Roman" w:hAnsi="Times New Roman"/>
                <w:sz w:val="16"/>
              </w:rPr>
              <w:t>43</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5.3</w:t>
            </w:r>
          </w:p>
        </w:tc>
        <w:tc>
          <w:tcPr>
            <w:tcW w:type="dxa" w:w="6624"/>
            <w:tcMar>
              <w:top w:w="18" w:type="dxa"/>
              <w:bottom w:w="18" w:type="dxa"/>
              <w:left w:w="60" w:type="dxa"/>
              <w:right w:w="50" w:type="dxa"/>
            </w:tcMar>
          </w:tcPr>
          <w:p>
            <w:pPr>
              <w:spacing w:before="0" w:after="0"/>
              <w:jc w:val="left"/>
            </w:pPr>
            <w:r>
              <w:rPr>
                <w:rFonts w:ascii="Times New Roman" w:hAnsi="Times New Roman"/>
                <w:sz w:val="16"/>
              </w:rPr>
              <w:t>Customer Churn Risk Stratification Tier Distribution</w:t>
            </w:r>
          </w:p>
        </w:tc>
        <w:tc>
          <w:tcPr>
            <w:tcW w:type="dxa" w:w="1152"/>
            <w:tcMar>
              <w:top w:w="18" w:type="dxa"/>
              <w:bottom w:w="18" w:type="dxa"/>
              <w:left w:w="60" w:type="dxa"/>
              <w:right w:w="50" w:type="dxa"/>
            </w:tcMar>
          </w:tcPr>
          <w:p>
            <w:pPr>
              <w:spacing w:before="0" w:after="0"/>
              <w:jc w:val="center"/>
            </w:pPr>
            <w:r>
              <w:rPr>
                <w:rFonts w:ascii="Times New Roman" w:hAnsi="Times New Roman"/>
                <w:sz w:val="16"/>
              </w:rPr>
              <w:t>44</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5.4</w:t>
            </w:r>
          </w:p>
        </w:tc>
        <w:tc>
          <w:tcPr>
            <w:tcW w:type="dxa" w:w="6624"/>
            <w:tcMar>
              <w:top w:w="18" w:type="dxa"/>
              <w:bottom w:w="18" w:type="dxa"/>
              <w:left w:w="60" w:type="dxa"/>
              <w:right w:w="50" w:type="dxa"/>
            </w:tcMar>
          </w:tcPr>
          <w:p>
            <w:pPr>
              <w:spacing w:before="0" w:after="0"/>
              <w:jc w:val="left"/>
            </w:pPr>
            <w:r>
              <w:rPr>
                <w:rFonts w:ascii="Times New Roman" w:hAnsi="Times New Roman"/>
                <w:sz w:val="16"/>
              </w:rPr>
              <w:t>Causal Uplift Meta-Learner Performance Evaluation (PEHE RMSE &amp; Qini)</w:t>
            </w:r>
          </w:p>
        </w:tc>
        <w:tc>
          <w:tcPr>
            <w:tcW w:type="dxa" w:w="1152"/>
            <w:tcMar>
              <w:top w:w="18" w:type="dxa"/>
              <w:bottom w:w="18" w:type="dxa"/>
              <w:left w:w="60" w:type="dxa"/>
              <w:right w:w="50" w:type="dxa"/>
            </w:tcMar>
          </w:tcPr>
          <w:p>
            <w:pPr>
              <w:spacing w:before="0" w:after="0"/>
              <w:jc w:val="center"/>
            </w:pPr>
            <w:r>
              <w:rPr>
                <w:rFonts w:ascii="Times New Roman" w:hAnsi="Times New Roman"/>
                <w:sz w:val="16"/>
              </w:rPr>
              <w:t>45</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5.5</w:t>
            </w:r>
          </w:p>
        </w:tc>
        <w:tc>
          <w:tcPr>
            <w:tcW w:type="dxa" w:w="6624"/>
            <w:tcMar>
              <w:top w:w="18" w:type="dxa"/>
              <w:bottom w:w="18" w:type="dxa"/>
              <w:left w:w="60" w:type="dxa"/>
              <w:right w:w="50" w:type="dxa"/>
            </w:tcMar>
          </w:tcPr>
          <w:p>
            <w:pPr>
              <w:spacing w:before="0" w:after="0"/>
              <w:jc w:val="left"/>
            </w:pPr>
            <w:r>
              <w:rPr>
                <w:rFonts w:ascii="Times New Roman" w:hAnsi="Times New Roman"/>
                <w:sz w:val="16"/>
              </w:rPr>
              <w:t>Portfolio Retention Campaign Budget Sweep and ERV Optimization</w:t>
            </w:r>
          </w:p>
        </w:tc>
        <w:tc>
          <w:tcPr>
            <w:tcW w:type="dxa" w:w="1152"/>
            <w:tcMar>
              <w:top w:w="18" w:type="dxa"/>
              <w:bottom w:w="18" w:type="dxa"/>
              <w:left w:w="60" w:type="dxa"/>
              <w:right w:w="50" w:type="dxa"/>
            </w:tcMar>
          </w:tcPr>
          <w:p>
            <w:pPr>
              <w:spacing w:before="0" w:after="0"/>
              <w:jc w:val="center"/>
            </w:pPr>
            <w:r>
              <w:rPr>
                <w:rFonts w:ascii="Times New Roman" w:hAnsi="Times New Roman"/>
                <w:sz w:val="16"/>
              </w:rPr>
              <w:t>46</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5.6</w:t>
            </w:r>
          </w:p>
        </w:tc>
        <w:tc>
          <w:tcPr>
            <w:tcW w:type="dxa" w:w="6624"/>
            <w:tcMar>
              <w:top w:w="18" w:type="dxa"/>
              <w:bottom w:w="18" w:type="dxa"/>
              <w:left w:w="60" w:type="dxa"/>
              <w:right w:w="50" w:type="dxa"/>
            </w:tcMar>
          </w:tcPr>
          <w:p>
            <w:pPr>
              <w:spacing w:before="0" w:after="0"/>
              <w:jc w:val="left"/>
            </w:pPr>
            <w:r>
              <w:rPr>
                <w:rFonts w:ascii="Times New Roman" w:hAnsi="Times New Roman"/>
                <w:sz w:val="16"/>
              </w:rPr>
              <w:t>Cox Proportional Hazards Multivariate Regression Summary</w:t>
            </w:r>
          </w:p>
        </w:tc>
        <w:tc>
          <w:tcPr>
            <w:tcW w:type="dxa" w:w="1152"/>
            <w:tcMar>
              <w:top w:w="18" w:type="dxa"/>
              <w:bottom w:w="18" w:type="dxa"/>
              <w:left w:w="60" w:type="dxa"/>
              <w:right w:w="50" w:type="dxa"/>
            </w:tcMar>
          </w:tcPr>
          <w:p>
            <w:pPr>
              <w:spacing w:before="0" w:after="0"/>
              <w:jc w:val="center"/>
            </w:pPr>
            <w:r>
              <w:rPr>
                <w:rFonts w:ascii="Times New Roman" w:hAnsi="Times New Roman"/>
                <w:sz w:val="16"/>
              </w:rPr>
              <w:t>47</w:t>
            </w:r>
          </w:p>
        </w:tc>
      </w:tr>
      <w:tr>
        <w:tc>
          <w:tcPr>
            <w:tcW w:type="dxa" w:w="1584"/>
            <w:tcMar>
              <w:top w:w="18" w:type="dxa"/>
              <w:bottom w:w="18" w:type="dxa"/>
              <w:left w:w="60" w:type="dxa"/>
              <w:right w:w="50" w:type="dxa"/>
            </w:tcMar>
          </w:tcPr>
          <w:p>
            <w:pPr>
              <w:spacing w:before="0" w:after="0"/>
              <w:jc w:val="center"/>
            </w:pPr>
            <w:r>
              <w:rPr>
                <w:rFonts w:ascii="Times New Roman" w:hAnsi="Times New Roman"/>
                <w:b/>
                <w:sz w:val="16"/>
              </w:rPr>
              <w:t>Table 5.7</w:t>
            </w:r>
          </w:p>
        </w:tc>
        <w:tc>
          <w:tcPr>
            <w:tcW w:type="dxa" w:w="6624"/>
            <w:tcMar>
              <w:top w:w="18" w:type="dxa"/>
              <w:bottom w:w="18" w:type="dxa"/>
              <w:left w:w="60" w:type="dxa"/>
              <w:right w:w="50" w:type="dxa"/>
            </w:tcMar>
          </w:tcPr>
          <w:p>
            <w:pPr>
              <w:spacing w:before="0" w:after="0"/>
              <w:jc w:val="left"/>
            </w:pPr>
            <w:r>
              <w:rPr>
                <w:rFonts w:ascii="Times New Roman" w:hAnsi="Times New Roman"/>
                <w:sz w:val="16"/>
              </w:rPr>
              <w:t>Population Stability Index (PSI) Feature Drift Audit</w:t>
            </w:r>
          </w:p>
        </w:tc>
        <w:tc>
          <w:tcPr>
            <w:tcW w:type="dxa" w:w="1152"/>
            <w:tcMar>
              <w:top w:w="18" w:type="dxa"/>
              <w:bottom w:w="18" w:type="dxa"/>
              <w:left w:w="60" w:type="dxa"/>
              <w:right w:w="50" w:type="dxa"/>
            </w:tcMar>
          </w:tcPr>
          <w:p>
            <w:pPr>
              <w:spacing w:before="0" w:after="0"/>
              <w:jc w:val="center"/>
            </w:pPr>
            <w:r>
              <w:rPr>
                <w:rFonts w:ascii="Times New Roman" w:hAnsi="Times New Roman"/>
                <w:sz w:val="16"/>
              </w:rPr>
              <w:t>50</w:t>
            </w:r>
          </w:p>
        </w:tc>
      </w:tr>
    </w:tbl>
    <w:p>
      <w:pPr>
        <w:spacing w:before="160" w:after="80" w:line="276" w:lineRule="auto"/>
        <w:jc w:val="center"/>
      </w:pPr>
      <w:r>
        <w:rPr>
          <w:rFonts w:ascii="Times New Roman" w:hAnsi="Times New Roman"/>
          <w:b/>
          <w:color w:val="0F1E41"/>
          <w:sz w:val="26"/>
        </w:rPr>
        <w:t>LIST OF ABBREVIATIONS &amp; ACRONYMS</w:t>
      </w:r>
    </w:p>
    <w:tbl>
      <w:tblPr>
        <w:tblW w:type="auto" w:w="0"/>
        <w:jc w:val="center"/>
        <w:tblLook w:firstColumn="1" w:firstRow="1" w:lastColumn="0" w:lastRow="0" w:noHBand="0" w:noVBand="1" w:val="04A0"/>
        <w:tblBorders>
          <w:top w:val="single" w:sz="4" w:space="0" w:color="B0B8C0"/>
          <w:bottom w:val="single" w:sz="4" w:space="0" w:color="B0B8C0"/>
          <w:left w:val="none"/>
          <w:right w:val="none"/>
          <w:insideH w:val="single" w:sz="4" w:space="0" w:color="B0B8C0"/>
          <w:insideV w:val="none"/>
        </w:tblBorders>
      </w:tblPr>
      <w:tblGrid>
        <w:gridCol w:w="2304"/>
        <w:gridCol w:w="2304"/>
        <w:gridCol w:w="2304"/>
        <w:gridCol w:w="2304"/>
      </w:tblGrid>
      <w:tr>
        <w:tc>
          <w:tcPr>
            <w:tcW w:type="dxa" w:w="1296"/>
            <w:shd w:fill="152035"/>
            <w:tcMar>
              <w:top w:w="35" w:type="dxa"/>
              <w:bottom w:w="35" w:type="dxa"/>
              <w:left w:w="50" w:type="dxa"/>
              <w:right w:w="50" w:type="dxa"/>
            </w:tcMar>
          </w:tcPr>
          <w:p>
            <w:pPr>
              <w:spacing w:before="0" w:after="0"/>
              <w:jc w:val="left"/>
            </w:pPr>
            <w:r>
              <w:rPr>
                <w:rFonts w:ascii="Times New Roman" w:hAnsi="Times New Roman"/>
                <w:b/>
                <w:color w:val="FFFFFF"/>
                <w:sz w:val="16"/>
              </w:rPr>
              <w:t>ABBR.</w:t>
            </w:r>
          </w:p>
        </w:tc>
        <w:tc>
          <w:tcPr>
            <w:tcW w:type="dxa" w:w="3312"/>
            <w:shd w:fill="152035"/>
            <w:tcMar>
              <w:top w:w="35" w:type="dxa"/>
              <w:bottom w:w="35" w:type="dxa"/>
              <w:left w:w="50" w:type="dxa"/>
              <w:right w:w="50" w:type="dxa"/>
            </w:tcMar>
          </w:tcPr>
          <w:p>
            <w:pPr>
              <w:spacing w:before="0" w:after="0"/>
              <w:jc w:val="left"/>
            </w:pPr>
            <w:r>
              <w:rPr>
                <w:rFonts w:ascii="Times New Roman" w:hAnsi="Times New Roman"/>
                <w:b/>
                <w:color w:val="FFFFFF"/>
                <w:sz w:val="16"/>
              </w:rPr>
              <w:t>EXPANSION</w:t>
            </w:r>
          </w:p>
        </w:tc>
        <w:tc>
          <w:tcPr>
            <w:tcW w:type="dxa" w:w="1296"/>
            <w:shd w:fill="152035"/>
            <w:tcMar>
              <w:top w:w="35" w:type="dxa"/>
              <w:bottom w:w="35" w:type="dxa"/>
              <w:left w:w="50" w:type="dxa"/>
              <w:right w:w="50" w:type="dxa"/>
            </w:tcMar>
          </w:tcPr>
          <w:p>
            <w:pPr>
              <w:spacing w:before="0" w:after="0"/>
              <w:jc w:val="left"/>
            </w:pPr>
            <w:r>
              <w:rPr>
                <w:rFonts w:ascii="Times New Roman" w:hAnsi="Times New Roman"/>
                <w:b/>
                <w:color w:val="FFFFFF"/>
                <w:sz w:val="16"/>
              </w:rPr>
              <w:t>ABBR.</w:t>
            </w:r>
          </w:p>
        </w:tc>
        <w:tc>
          <w:tcPr>
            <w:tcW w:type="dxa" w:w="3456"/>
            <w:shd w:fill="152035"/>
            <w:tcMar>
              <w:top w:w="35" w:type="dxa"/>
              <w:bottom w:w="35" w:type="dxa"/>
              <w:left w:w="50" w:type="dxa"/>
              <w:right w:w="50" w:type="dxa"/>
            </w:tcMar>
          </w:tcPr>
          <w:p>
            <w:pPr>
              <w:spacing w:before="0" w:after="0"/>
              <w:jc w:val="left"/>
            </w:pPr>
            <w:r>
              <w:rPr>
                <w:rFonts w:ascii="Times New Roman" w:hAnsi="Times New Roman"/>
                <w:b/>
                <w:color w:val="FFFFFF"/>
                <w:sz w:val="16"/>
              </w:rPr>
              <w:t>EXPANSION</w:t>
            </w:r>
          </w:p>
        </w:tc>
      </w:tr>
      <w:tr>
        <w:tc>
          <w:tcPr>
            <w:tcW w:type="dxa" w:w="1296"/>
            <w:tcMar>
              <w:top w:w="16" w:type="dxa"/>
              <w:bottom w:w="16" w:type="dxa"/>
              <w:left w:w="50" w:type="dxa"/>
              <w:right w:w="50" w:type="dxa"/>
            </w:tcMar>
          </w:tcPr>
          <w:p>
            <w:pPr>
              <w:spacing w:before="0" w:after="0"/>
            </w:pPr>
            <w:r>
              <w:rPr>
                <w:rFonts w:ascii="Times New Roman" w:hAnsi="Times New Roman"/>
                <w:b/>
                <w:sz w:val="15"/>
              </w:rPr>
              <w:t>AFT</w:t>
            </w:r>
          </w:p>
        </w:tc>
        <w:tc>
          <w:tcPr>
            <w:tcW w:type="dxa" w:w="3312"/>
            <w:tcMar>
              <w:top w:w="16" w:type="dxa"/>
              <w:bottom w:w="16" w:type="dxa"/>
              <w:left w:w="50" w:type="dxa"/>
              <w:right w:w="50" w:type="dxa"/>
            </w:tcMar>
          </w:tcPr>
          <w:p>
            <w:pPr>
              <w:spacing w:before="0" w:after="0"/>
            </w:pPr>
            <w:r>
              <w:rPr>
                <w:rFonts w:ascii="Times New Roman" w:hAnsi="Times New Roman"/>
                <w:sz w:val="15"/>
              </w:rPr>
              <w:t>Accelerated Failure Time</w:t>
            </w:r>
          </w:p>
        </w:tc>
        <w:tc>
          <w:tcPr>
            <w:tcW w:type="dxa" w:w="1296"/>
            <w:tcMar>
              <w:top w:w="16" w:type="dxa"/>
              <w:bottom w:w="16" w:type="dxa"/>
              <w:left w:w="50" w:type="dxa"/>
              <w:right w:w="50" w:type="dxa"/>
            </w:tcMar>
          </w:tcPr>
          <w:p>
            <w:pPr>
              <w:spacing w:before="0" w:after="0"/>
            </w:pPr>
            <w:r>
              <w:rPr>
                <w:rFonts w:ascii="Times New Roman" w:hAnsi="Times New Roman"/>
                <w:b/>
                <w:sz w:val="15"/>
              </w:rPr>
              <w:t>KM</w:t>
            </w:r>
          </w:p>
        </w:tc>
        <w:tc>
          <w:tcPr>
            <w:tcW w:type="dxa" w:w="3456"/>
            <w:tcMar>
              <w:top w:w="16" w:type="dxa"/>
              <w:bottom w:w="16" w:type="dxa"/>
              <w:left w:w="50" w:type="dxa"/>
              <w:right w:w="50" w:type="dxa"/>
            </w:tcMar>
          </w:tcPr>
          <w:p>
            <w:pPr>
              <w:spacing w:before="0" w:after="0"/>
            </w:pPr>
            <w:r>
              <w:rPr>
                <w:rFonts w:ascii="Times New Roman" w:hAnsi="Times New Roman"/>
                <w:sz w:val="15"/>
              </w:rPr>
              <w:t>Kaplan-Meier Estimator</w:t>
            </w:r>
          </w:p>
        </w:tc>
      </w:tr>
      <w:tr>
        <w:tc>
          <w:tcPr>
            <w:tcW w:type="dxa" w:w="1296"/>
            <w:tcMar>
              <w:top w:w="16" w:type="dxa"/>
              <w:bottom w:w="16" w:type="dxa"/>
              <w:left w:w="50" w:type="dxa"/>
              <w:right w:w="50" w:type="dxa"/>
            </w:tcMar>
          </w:tcPr>
          <w:p>
            <w:pPr>
              <w:spacing w:before="0" w:after="0"/>
            </w:pPr>
            <w:r>
              <w:rPr>
                <w:rFonts w:ascii="Times New Roman" w:hAnsi="Times New Roman"/>
                <w:b/>
                <w:sz w:val="15"/>
              </w:rPr>
              <w:t>API</w:t>
            </w:r>
          </w:p>
        </w:tc>
        <w:tc>
          <w:tcPr>
            <w:tcW w:type="dxa" w:w="3312"/>
            <w:tcMar>
              <w:top w:w="16" w:type="dxa"/>
              <w:bottom w:w="16" w:type="dxa"/>
              <w:left w:w="50" w:type="dxa"/>
              <w:right w:w="50" w:type="dxa"/>
            </w:tcMar>
          </w:tcPr>
          <w:p>
            <w:pPr>
              <w:spacing w:before="0" w:after="0"/>
            </w:pPr>
            <w:r>
              <w:rPr>
                <w:rFonts w:ascii="Times New Roman" w:hAnsi="Times New Roman"/>
                <w:sz w:val="15"/>
              </w:rPr>
              <w:t>Application Programming Interface</w:t>
            </w:r>
          </w:p>
        </w:tc>
        <w:tc>
          <w:tcPr>
            <w:tcW w:type="dxa" w:w="1296"/>
            <w:tcMar>
              <w:top w:w="16" w:type="dxa"/>
              <w:bottom w:w="16" w:type="dxa"/>
              <w:left w:w="50" w:type="dxa"/>
              <w:right w:w="50" w:type="dxa"/>
            </w:tcMar>
          </w:tcPr>
          <w:p>
            <w:pPr>
              <w:spacing w:before="0" w:after="0"/>
            </w:pPr>
            <w:r>
              <w:rPr>
                <w:rFonts w:ascii="Times New Roman" w:hAnsi="Times New Roman"/>
                <w:b/>
                <w:sz w:val="15"/>
              </w:rPr>
              <w:t>LTV</w:t>
            </w:r>
          </w:p>
        </w:tc>
        <w:tc>
          <w:tcPr>
            <w:tcW w:type="dxa" w:w="3456"/>
            <w:tcMar>
              <w:top w:w="16" w:type="dxa"/>
              <w:bottom w:w="16" w:type="dxa"/>
              <w:left w:w="50" w:type="dxa"/>
              <w:right w:w="50" w:type="dxa"/>
            </w:tcMar>
          </w:tcPr>
          <w:p>
            <w:pPr>
              <w:spacing w:before="0" w:after="0"/>
            </w:pPr>
            <w:r>
              <w:rPr>
                <w:rFonts w:ascii="Times New Roman" w:hAnsi="Times New Roman"/>
                <w:sz w:val="15"/>
              </w:rPr>
              <w:t>Lifetime Value</w:t>
            </w:r>
          </w:p>
        </w:tc>
      </w:tr>
      <w:tr>
        <w:tc>
          <w:tcPr>
            <w:tcW w:type="dxa" w:w="1296"/>
            <w:tcMar>
              <w:top w:w="16" w:type="dxa"/>
              <w:bottom w:w="16" w:type="dxa"/>
              <w:left w:w="50" w:type="dxa"/>
              <w:right w:w="50" w:type="dxa"/>
            </w:tcMar>
          </w:tcPr>
          <w:p>
            <w:pPr>
              <w:spacing w:before="0" w:after="0"/>
            </w:pPr>
            <w:r>
              <w:rPr>
                <w:rFonts w:ascii="Times New Roman" w:hAnsi="Times New Roman"/>
                <w:b/>
                <w:sz w:val="15"/>
              </w:rPr>
              <w:t>AUC</w:t>
            </w:r>
          </w:p>
        </w:tc>
        <w:tc>
          <w:tcPr>
            <w:tcW w:type="dxa" w:w="3312"/>
            <w:tcMar>
              <w:top w:w="16" w:type="dxa"/>
              <w:bottom w:w="16" w:type="dxa"/>
              <w:left w:w="50" w:type="dxa"/>
              <w:right w:w="50" w:type="dxa"/>
            </w:tcMar>
          </w:tcPr>
          <w:p>
            <w:pPr>
              <w:spacing w:before="0" w:after="0"/>
            </w:pPr>
            <w:r>
              <w:rPr>
                <w:rFonts w:ascii="Times New Roman" w:hAnsi="Times New Roman"/>
                <w:sz w:val="15"/>
              </w:rPr>
              <w:t>Area Under the ROC Curve</w:t>
            </w:r>
          </w:p>
        </w:tc>
        <w:tc>
          <w:tcPr>
            <w:tcW w:type="dxa" w:w="1296"/>
            <w:tcMar>
              <w:top w:w="16" w:type="dxa"/>
              <w:bottom w:w="16" w:type="dxa"/>
              <w:left w:w="50" w:type="dxa"/>
              <w:right w:w="50" w:type="dxa"/>
            </w:tcMar>
          </w:tcPr>
          <w:p>
            <w:pPr>
              <w:spacing w:before="0" w:after="0"/>
            </w:pPr>
            <w:r>
              <w:rPr>
                <w:rFonts w:ascii="Times New Roman" w:hAnsi="Times New Roman"/>
                <w:b/>
                <w:sz w:val="15"/>
              </w:rPr>
              <w:t>ML</w:t>
            </w:r>
          </w:p>
        </w:tc>
        <w:tc>
          <w:tcPr>
            <w:tcW w:type="dxa" w:w="3456"/>
            <w:tcMar>
              <w:top w:w="16" w:type="dxa"/>
              <w:bottom w:w="16" w:type="dxa"/>
              <w:left w:w="50" w:type="dxa"/>
              <w:right w:w="50" w:type="dxa"/>
            </w:tcMar>
          </w:tcPr>
          <w:p>
            <w:pPr>
              <w:spacing w:before="0" w:after="0"/>
            </w:pPr>
            <w:r>
              <w:rPr>
                <w:rFonts w:ascii="Times New Roman" w:hAnsi="Times New Roman"/>
                <w:sz w:val="15"/>
              </w:rPr>
              <w:t>Machine Learning</w:t>
            </w:r>
          </w:p>
        </w:tc>
      </w:tr>
      <w:tr>
        <w:tc>
          <w:tcPr>
            <w:tcW w:type="dxa" w:w="1296"/>
            <w:tcMar>
              <w:top w:w="16" w:type="dxa"/>
              <w:bottom w:w="16" w:type="dxa"/>
              <w:left w:w="50" w:type="dxa"/>
              <w:right w:w="50" w:type="dxa"/>
            </w:tcMar>
          </w:tcPr>
          <w:p>
            <w:pPr>
              <w:spacing w:before="0" w:after="0"/>
            </w:pPr>
            <w:r>
              <w:rPr>
                <w:rFonts w:ascii="Times New Roman" w:hAnsi="Times New Roman"/>
                <w:b/>
                <w:sz w:val="15"/>
              </w:rPr>
              <w:t>C-Index</w:t>
            </w:r>
          </w:p>
        </w:tc>
        <w:tc>
          <w:tcPr>
            <w:tcW w:type="dxa" w:w="3312"/>
            <w:tcMar>
              <w:top w:w="16" w:type="dxa"/>
              <w:bottom w:w="16" w:type="dxa"/>
              <w:left w:w="50" w:type="dxa"/>
              <w:right w:w="50" w:type="dxa"/>
            </w:tcMar>
          </w:tcPr>
          <w:p>
            <w:pPr>
              <w:spacing w:before="0" w:after="0"/>
            </w:pPr>
            <w:r>
              <w:rPr>
                <w:rFonts w:ascii="Times New Roman" w:hAnsi="Times New Roman"/>
                <w:sz w:val="15"/>
              </w:rPr>
              <w:t>Harrell's Concordance Index</w:t>
            </w:r>
          </w:p>
        </w:tc>
        <w:tc>
          <w:tcPr>
            <w:tcW w:type="dxa" w:w="1296"/>
            <w:tcMar>
              <w:top w:w="16" w:type="dxa"/>
              <w:bottom w:w="16" w:type="dxa"/>
              <w:left w:w="50" w:type="dxa"/>
              <w:right w:w="50" w:type="dxa"/>
            </w:tcMar>
          </w:tcPr>
          <w:p>
            <w:pPr>
              <w:spacing w:before="0" w:after="0"/>
            </w:pPr>
            <w:r>
              <w:rPr>
                <w:rFonts w:ascii="Times New Roman" w:hAnsi="Times New Roman"/>
                <w:b/>
                <w:sz w:val="15"/>
              </w:rPr>
              <w:t>PEHE</w:t>
            </w:r>
          </w:p>
        </w:tc>
        <w:tc>
          <w:tcPr>
            <w:tcW w:type="dxa" w:w="3456"/>
            <w:tcMar>
              <w:top w:w="16" w:type="dxa"/>
              <w:bottom w:w="16" w:type="dxa"/>
              <w:left w:w="50" w:type="dxa"/>
              <w:right w:w="50" w:type="dxa"/>
            </w:tcMar>
          </w:tcPr>
          <w:p>
            <w:pPr>
              <w:spacing w:before="0" w:after="0"/>
            </w:pPr>
            <w:r>
              <w:rPr>
                <w:rFonts w:ascii="Times New Roman" w:hAnsi="Times New Roman"/>
                <w:sz w:val="15"/>
              </w:rPr>
              <w:t>Precision in Estimating Heterogeneous Effect</w:t>
            </w:r>
          </w:p>
        </w:tc>
      </w:tr>
      <w:tr>
        <w:tc>
          <w:tcPr>
            <w:tcW w:type="dxa" w:w="1296"/>
            <w:tcMar>
              <w:top w:w="16" w:type="dxa"/>
              <w:bottom w:w="16" w:type="dxa"/>
              <w:left w:w="50" w:type="dxa"/>
              <w:right w:w="50" w:type="dxa"/>
            </w:tcMar>
          </w:tcPr>
          <w:p>
            <w:pPr>
              <w:spacing w:before="0" w:after="0"/>
            </w:pPr>
            <w:r>
              <w:rPr>
                <w:rFonts w:ascii="Times New Roman" w:hAnsi="Times New Roman"/>
                <w:b/>
                <w:sz w:val="15"/>
              </w:rPr>
              <w:t>CATE</w:t>
            </w:r>
          </w:p>
        </w:tc>
        <w:tc>
          <w:tcPr>
            <w:tcW w:type="dxa" w:w="3312"/>
            <w:tcMar>
              <w:top w:w="16" w:type="dxa"/>
              <w:bottom w:w="16" w:type="dxa"/>
              <w:left w:w="50" w:type="dxa"/>
              <w:right w:w="50" w:type="dxa"/>
            </w:tcMar>
          </w:tcPr>
          <w:p>
            <w:pPr>
              <w:spacing w:before="0" w:after="0"/>
            </w:pPr>
            <w:r>
              <w:rPr>
                <w:rFonts w:ascii="Times New Roman" w:hAnsi="Times New Roman"/>
                <w:sz w:val="15"/>
              </w:rPr>
              <w:t>Conditional Average Treatment Effect</w:t>
            </w:r>
          </w:p>
        </w:tc>
        <w:tc>
          <w:tcPr>
            <w:tcW w:type="dxa" w:w="1296"/>
            <w:tcMar>
              <w:top w:w="16" w:type="dxa"/>
              <w:bottom w:w="16" w:type="dxa"/>
              <w:left w:w="50" w:type="dxa"/>
              <w:right w:w="50" w:type="dxa"/>
            </w:tcMar>
          </w:tcPr>
          <w:p>
            <w:pPr>
              <w:spacing w:before="0" w:after="0"/>
            </w:pPr>
            <w:r>
              <w:rPr>
                <w:rFonts w:ascii="Times New Roman" w:hAnsi="Times New Roman"/>
                <w:b/>
                <w:sz w:val="15"/>
              </w:rPr>
              <w:t>PSI</w:t>
            </w:r>
          </w:p>
        </w:tc>
        <w:tc>
          <w:tcPr>
            <w:tcW w:type="dxa" w:w="3456"/>
            <w:tcMar>
              <w:top w:w="16" w:type="dxa"/>
              <w:bottom w:w="16" w:type="dxa"/>
              <w:left w:w="50" w:type="dxa"/>
              <w:right w:w="50" w:type="dxa"/>
            </w:tcMar>
          </w:tcPr>
          <w:p>
            <w:pPr>
              <w:spacing w:before="0" w:after="0"/>
            </w:pPr>
            <w:r>
              <w:rPr>
                <w:rFonts w:ascii="Times New Roman" w:hAnsi="Times New Roman"/>
                <w:sz w:val="15"/>
              </w:rPr>
              <w:t>Population Stability Index</w:t>
            </w:r>
          </w:p>
        </w:tc>
      </w:tr>
      <w:tr>
        <w:tc>
          <w:tcPr>
            <w:tcW w:type="dxa" w:w="1296"/>
            <w:tcMar>
              <w:top w:w="16" w:type="dxa"/>
              <w:bottom w:w="16" w:type="dxa"/>
              <w:left w:w="50" w:type="dxa"/>
              <w:right w:w="50" w:type="dxa"/>
            </w:tcMar>
          </w:tcPr>
          <w:p>
            <w:pPr>
              <w:spacing w:before="0" w:after="0"/>
            </w:pPr>
            <w:r>
              <w:rPr>
                <w:rFonts w:ascii="Times New Roman" w:hAnsi="Times New Roman"/>
                <w:b/>
                <w:sz w:val="15"/>
              </w:rPr>
              <w:t>CI</w:t>
            </w:r>
          </w:p>
        </w:tc>
        <w:tc>
          <w:tcPr>
            <w:tcW w:type="dxa" w:w="3312"/>
            <w:tcMar>
              <w:top w:w="16" w:type="dxa"/>
              <w:bottom w:w="16" w:type="dxa"/>
              <w:left w:w="50" w:type="dxa"/>
              <w:right w:w="50" w:type="dxa"/>
            </w:tcMar>
          </w:tcPr>
          <w:p>
            <w:pPr>
              <w:spacing w:before="0" w:after="0"/>
            </w:pPr>
            <w:r>
              <w:rPr>
                <w:rFonts w:ascii="Times New Roman" w:hAnsi="Times New Roman"/>
                <w:sz w:val="15"/>
              </w:rPr>
              <w:t>Confidence Interval</w:t>
            </w:r>
          </w:p>
        </w:tc>
        <w:tc>
          <w:tcPr>
            <w:tcW w:type="dxa" w:w="1296"/>
            <w:tcMar>
              <w:top w:w="16" w:type="dxa"/>
              <w:bottom w:w="16" w:type="dxa"/>
              <w:left w:w="50" w:type="dxa"/>
              <w:right w:w="50" w:type="dxa"/>
            </w:tcMar>
          </w:tcPr>
          <w:p>
            <w:pPr>
              <w:spacing w:before="0" w:after="0"/>
            </w:pPr>
            <w:r>
              <w:rPr>
                <w:rFonts w:ascii="Times New Roman" w:hAnsi="Times New Roman"/>
                <w:b/>
                <w:sz w:val="15"/>
              </w:rPr>
              <w:t>REST</w:t>
            </w:r>
          </w:p>
        </w:tc>
        <w:tc>
          <w:tcPr>
            <w:tcW w:type="dxa" w:w="3456"/>
            <w:tcMar>
              <w:top w:w="16" w:type="dxa"/>
              <w:bottom w:w="16" w:type="dxa"/>
              <w:left w:w="50" w:type="dxa"/>
              <w:right w:w="50" w:type="dxa"/>
            </w:tcMar>
          </w:tcPr>
          <w:p>
            <w:pPr>
              <w:spacing w:before="0" w:after="0"/>
            </w:pPr>
            <w:r>
              <w:rPr>
                <w:rFonts w:ascii="Times New Roman" w:hAnsi="Times New Roman"/>
                <w:sz w:val="15"/>
              </w:rPr>
              <w:t>Representational State Transfer</w:t>
            </w:r>
          </w:p>
        </w:tc>
      </w:tr>
      <w:tr>
        <w:tc>
          <w:tcPr>
            <w:tcW w:type="dxa" w:w="1296"/>
            <w:tcMar>
              <w:top w:w="16" w:type="dxa"/>
              <w:bottom w:w="16" w:type="dxa"/>
              <w:left w:w="50" w:type="dxa"/>
              <w:right w:w="50" w:type="dxa"/>
            </w:tcMar>
          </w:tcPr>
          <w:p>
            <w:pPr>
              <w:spacing w:before="0" w:after="0"/>
            </w:pPr>
            <w:r>
              <w:rPr>
                <w:rFonts w:ascii="Times New Roman" w:hAnsi="Times New Roman"/>
                <w:b/>
                <w:sz w:val="15"/>
              </w:rPr>
              <w:t>Cox PH</w:t>
            </w:r>
          </w:p>
        </w:tc>
        <w:tc>
          <w:tcPr>
            <w:tcW w:type="dxa" w:w="3312"/>
            <w:tcMar>
              <w:top w:w="16" w:type="dxa"/>
              <w:bottom w:w="16" w:type="dxa"/>
              <w:left w:w="50" w:type="dxa"/>
              <w:right w:w="50" w:type="dxa"/>
            </w:tcMar>
          </w:tcPr>
          <w:p>
            <w:pPr>
              <w:spacing w:before="0" w:after="0"/>
            </w:pPr>
            <w:r>
              <w:rPr>
                <w:rFonts w:ascii="Times New Roman" w:hAnsi="Times New Roman"/>
                <w:sz w:val="15"/>
              </w:rPr>
              <w:t>Cox Proportional Hazards Model</w:t>
            </w:r>
          </w:p>
        </w:tc>
        <w:tc>
          <w:tcPr>
            <w:tcW w:type="dxa" w:w="1296"/>
            <w:tcMar>
              <w:top w:w="16" w:type="dxa"/>
              <w:bottom w:w="16" w:type="dxa"/>
              <w:left w:w="50" w:type="dxa"/>
              <w:right w:w="50" w:type="dxa"/>
            </w:tcMar>
          </w:tcPr>
          <w:p>
            <w:pPr>
              <w:spacing w:before="0" w:after="0"/>
            </w:pPr>
            <w:r>
              <w:rPr>
                <w:rFonts w:ascii="Times New Roman" w:hAnsi="Times New Roman"/>
                <w:b/>
                <w:sz w:val="15"/>
              </w:rPr>
              <w:t>ROI</w:t>
            </w:r>
          </w:p>
        </w:tc>
        <w:tc>
          <w:tcPr>
            <w:tcW w:type="dxa" w:w="3456"/>
            <w:tcMar>
              <w:top w:w="16" w:type="dxa"/>
              <w:bottom w:w="16" w:type="dxa"/>
              <w:left w:w="50" w:type="dxa"/>
              <w:right w:w="50" w:type="dxa"/>
            </w:tcMar>
          </w:tcPr>
          <w:p>
            <w:pPr>
              <w:spacing w:before="0" w:after="0"/>
            </w:pPr>
            <w:r>
              <w:rPr>
                <w:rFonts w:ascii="Times New Roman" w:hAnsi="Times New Roman"/>
                <w:sz w:val="15"/>
              </w:rPr>
              <w:t>Return on Investment</w:t>
            </w:r>
          </w:p>
        </w:tc>
      </w:tr>
      <w:tr>
        <w:tc>
          <w:tcPr>
            <w:tcW w:type="dxa" w:w="1296"/>
            <w:tcMar>
              <w:top w:w="16" w:type="dxa"/>
              <w:bottom w:w="16" w:type="dxa"/>
              <w:left w:w="50" w:type="dxa"/>
              <w:right w:w="50" w:type="dxa"/>
            </w:tcMar>
          </w:tcPr>
          <w:p>
            <w:pPr>
              <w:spacing w:before="0" w:after="0"/>
            </w:pPr>
            <w:r>
              <w:rPr>
                <w:rFonts w:ascii="Times New Roman" w:hAnsi="Times New Roman"/>
                <w:b/>
                <w:sz w:val="15"/>
              </w:rPr>
              <w:t>DFD</w:t>
            </w:r>
          </w:p>
        </w:tc>
        <w:tc>
          <w:tcPr>
            <w:tcW w:type="dxa" w:w="3312"/>
            <w:tcMar>
              <w:top w:w="16" w:type="dxa"/>
              <w:bottom w:w="16" w:type="dxa"/>
              <w:left w:w="50" w:type="dxa"/>
              <w:right w:w="50" w:type="dxa"/>
            </w:tcMar>
          </w:tcPr>
          <w:p>
            <w:pPr>
              <w:spacing w:before="0" w:after="0"/>
            </w:pPr>
            <w:r>
              <w:rPr>
                <w:rFonts w:ascii="Times New Roman" w:hAnsi="Times New Roman"/>
                <w:sz w:val="15"/>
              </w:rPr>
              <w:t>Data Flow Diagram</w:t>
            </w:r>
          </w:p>
        </w:tc>
        <w:tc>
          <w:tcPr>
            <w:tcW w:type="dxa" w:w="1296"/>
            <w:tcMar>
              <w:top w:w="16" w:type="dxa"/>
              <w:bottom w:w="16" w:type="dxa"/>
              <w:left w:w="50" w:type="dxa"/>
              <w:right w:w="50" w:type="dxa"/>
            </w:tcMar>
          </w:tcPr>
          <w:p>
            <w:pPr>
              <w:spacing w:before="0" w:after="0"/>
            </w:pPr>
            <w:r>
              <w:rPr>
                <w:rFonts w:ascii="Times New Roman" w:hAnsi="Times New Roman"/>
                <w:b/>
                <w:sz w:val="15"/>
              </w:rPr>
              <w:t>RSF</w:t>
            </w:r>
          </w:p>
        </w:tc>
        <w:tc>
          <w:tcPr>
            <w:tcW w:type="dxa" w:w="3456"/>
            <w:tcMar>
              <w:top w:w="16" w:type="dxa"/>
              <w:bottom w:w="16" w:type="dxa"/>
              <w:left w:w="50" w:type="dxa"/>
              <w:right w:w="50" w:type="dxa"/>
            </w:tcMar>
          </w:tcPr>
          <w:p>
            <w:pPr>
              <w:spacing w:before="0" w:after="0"/>
            </w:pPr>
            <w:r>
              <w:rPr>
                <w:rFonts w:ascii="Times New Roman" w:hAnsi="Times New Roman"/>
                <w:sz w:val="15"/>
              </w:rPr>
              <w:t>Random Survival Forest</w:t>
            </w:r>
          </w:p>
        </w:tc>
      </w:tr>
      <w:tr>
        <w:tc>
          <w:tcPr>
            <w:tcW w:type="dxa" w:w="1296"/>
            <w:tcMar>
              <w:top w:w="16" w:type="dxa"/>
              <w:bottom w:w="16" w:type="dxa"/>
              <w:left w:w="50" w:type="dxa"/>
              <w:right w:w="50" w:type="dxa"/>
            </w:tcMar>
          </w:tcPr>
          <w:p>
            <w:pPr>
              <w:spacing w:before="0" w:after="0"/>
            </w:pPr>
            <w:r>
              <w:rPr>
                <w:rFonts w:ascii="Times New Roman" w:hAnsi="Times New Roman"/>
                <w:b/>
                <w:sz w:val="15"/>
              </w:rPr>
              <w:t>EDA</w:t>
            </w:r>
          </w:p>
        </w:tc>
        <w:tc>
          <w:tcPr>
            <w:tcW w:type="dxa" w:w="3312"/>
            <w:tcMar>
              <w:top w:w="16" w:type="dxa"/>
              <w:bottom w:w="16" w:type="dxa"/>
              <w:left w:w="50" w:type="dxa"/>
              <w:right w:w="50" w:type="dxa"/>
            </w:tcMar>
          </w:tcPr>
          <w:p>
            <w:pPr>
              <w:spacing w:before="0" w:after="0"/>
            </w:pPr>
            <w:r>
              <w:rPr>
                <w:rFonts w:ascii="Times New Roman" w:hAnsi="Times New Roman"/>
                <w:sz w:val="15"/>
              </w:rPr>
              <w:t>Exploratory Data Analysis</w:t>
            </w:r>
          </w:p>
        </w:tc>
        <w:tc>
          <w:tcPr>
            <w:tcW w:type="dxa" w:w="1296"/>
            <w:tcMar>
              <w:top w:w="16" w:type="dxa"/>
              <w:bottom w:w="16" w:type="dxa"/>
              <w:left w:w="50" w:type="dxa"/>
              <w:right w:w="50" w:type="dxa"/>
            </w:tcMar>
          </w:tcPr>
          <w:p>
            <w:pPr>
              <w:spacing w:before="0" w:after="0"/>
            </w:pPr>
            <w:r>
              <w:rPr>
                <w:rFonts w:ascii="Times New Roman" w:hAnsi="Times New Roman"/>
                <w:b/>
                <w:sz w:val="15"/>
              </w:rPr>
              <w:t>SaaS</w:t>
            </w:r>
          </w:p>
        </w:tc>
        <w:tc>
          <w:tcPr>
            <w:tcW w:type="dxa" w:w="3456"/>
            <w:tcMar>
              <w:top w:w="16" w:type="dxa"/>
              <w:bottom w:w="16" w:type="dxa"/>
              <w:left w:w="50" w:type="dxa"/>
              <w:right w:w="50" w:type="dxa"/>
            </w:tcMar>
          </w:tcPr>
          <w:p>
            <w:pPr>
              <w:spacing w:before="0" w:after="0"/>
            </w:pPr>
            <w:r>
              <w:rPr>
                <w:rFonts w:ascii="Times New Roman" w:hAnsi="Times New Roman"/>
                <w:sz w:val="15"/>
              </w:rPr>
              <w:t>Software as a Service</w:t>
            </w:r>
          </w:p>
        </w:tc>
      </w:tr>
      <w:tr>
        <w:tc>
          <w:tcPr>
            <w:tcW w:type="dxa" w:w="1296"/>
            <w:tcMar>
              <w:top w:w="16" w:type="dxa"/>
              <w:bottom w:w="16" w:type="dxa"/>
              <w:left w:w="50" w:type="dxa"/>
              <w:right w:w="50" w:type="dxa"/>
            </w:tcMar>
          </w:tcPr>
          <w:p>
            <w:pPr>
              <w:spacing w:before="0" w:after="0"/>
            </w:pPr>
            <w:r>
              <w:rPr>
                <w:rFonts w:ascii="Times New Roman" w:hAnsi="Times New Roman"/>
                <w:b/>
                <w:sz w:val="15"/>
              </w:rPr>
              <w:t>ERV</w:t>
            </w:r>
          </w:p>
        </w:tc>
        <w:tc>
          <w:tcPr>
            <w:tcW w:type="dxa" w:w="3312"/>
            <w:tcMar>
              <w:top w:w="16" w:type="dxa"/>
              <w:bottom w:w="16" w:type="dxa"/>
              <w:left w:w="50" w:type="dxa"/>
              <w:right w:w="50" w:type="dxa"/>
            </w:tcMar>
          </w:tcPr>
          <w:p>
            <w:pPr>
              <w:spacing w:before="0" w:after="0"/>
            </w:pPr>
            <w:r>
              <w:rPr>
                <w:rFonts w:ascii="Times New Roman" w:hAnsi="Times New Roman"/>
                <w:sz w:val="15"/>
              </w:rPr>
              <w:t>Expected Retention Value</w:t>
            </w:r>
          </w:p>
        </w:tc>
        <w:tc>
          <w:tcPr>
            <w:tcW w:type="dxa" w:w="1296"/>
            <w:tcMar>
              <w:top w:w="16" w:type="dxa"/>
              <w:bottom w:w="16" w:type="dxa"/>
              <w:left w:w="50" w:type="dxa"/>
              <w:right w:w="50" w:type="dxa"/>
            </w:tcMar>
          </w:tcPr>
          <w:p>
            <w:pPr>
              <w:spacing w:before="0" w:after="0"/>
            </w:pPr>
            <w:r>
              <w:rPr>
                <w:rFonts w:ascii="Times New Roman" w:hAnsi="Times New Roman"/>
                <w:b/>
                <w:sz w:val="15"/>
              </w:rPr>
              <w:t>SHAP</w:t>
            </w:r>
          </w:p>
        </w:tc>
        <w:tc>
          <w:tcPr>
            <w:tcW w:type="dxa" w:w="3456"/>
            <w:tcMar>
              <w:top w:w="16" w:type="dxa"/>
              <w:bottom w:w="16" w:type="dxa"/>
              <w:left w:w="50" w:type="dxa"/>
              <w:right w:w="50" w:type="dxa"/>
            </w:tcMar>
          </w:tcPr>
          <w:p>
            <w:pPr>
              <w:spacing w:before="0" w:after="0"/>
            </w:pPr>
            <w:r>
              <w:rPr>
                <w:rFonts w:ascii="Times New Roman" w:hAnsi="Times New Roman"/>
                <w:sz w:val="15"/>
              </w:rPr>
              <w:t>Shapley Additive Explanations</w:t>
            </w:r>
          </w:p>
        </w:tc>
      </w:tr>
      <w:tr>
        <w:tc>
          <w:tcPr>
            <w:tcW w:type="dxa" w:w="1296"/>
            <w:tcMar>
              <w:top w:w="16" w:type="dxa"/>
              <w:bottom w:w="16" w:type="dxa"/>
              <w:left w:w="50" w:type="dxa"/>
              <w:right w:w="50" w:type="dxa"/>
            </w:tcMar>
          </w:tcPr>
          <w:p>
            <w:pPr>
              <w:spacing w:before="0" w:after="0"/>
            </w:pPr>
            <w:r>
              <w:rPr>
                <w:rFonts w:ascii="Times New Roman" w:hAnsi="Times New Roman"/>
                <w:b/>
                <w:sz w:val="15"/>
              </w:rPr>
              <w:t>HR</w:t>
            </w:r>
          </w:p>
        </w:tc>
        <w:tc>
          <w:tcPr>
            <w:tcW w:type="dxa" w:w="3312"/>
            <w:tcMar>
              <w:top w:w="16" w:type="dxa"/>
              <w:bottom w:w="16" w:type="dxa"/>
              <w:left w:w="50" w:type="dxa"/>
              <w:right w:w="50" w:type="dxa"/>
            </w:tcMar>
          </w:tcPr>
          <w:p>
            <w:pPr>
              <w:spacing w:before="0" w:after="0"/>
            </w:pPr>
            <w:r>
              <w:rPr>
                <w:rFonts w:ascii="Times New Roman" w:hAnsi="Times New Roman"/>
                <w:sz w:val="15"/>
              </w:rPr>
              <w:t>Hazard Ratio</w:t>
            </w:r>
          </w:p>
        </w:tc>
        <w:tc>
          <w:tcPr>
            <w:tcW w:type="dxa" w:w="1296"/>
            <w:tcMar>
              <w:top w:w="16" w:type="dxa"/>
              <w:bottom w:w="16" w:type="dxa"/>
              <w:left w:w="50" w:type="dxa"/>
              <w:right w:w="50" w:type="dxa"/>
            </w:tcMar>
          </w:tcPr>
          <w:p>
            <w:pPr>
              <w:spacing w:before="0" w:after="0"/>
            </w:pPr>
            <w:r>
              <w:rPr>
                <w:rFonts w:ascii="Times New Roman" w:hAnsi="Times New Roman"/>
                <w:b/>
                <w:sz w:val="15"/>
              </w:rPr>
              <w:t>UML</w:t>
            </w:r>
          </w:p>
        </w:tc>
        <w:tc>
          <w:tcPr>
            <w:tcW w:type="dxa" w:w="3456"/>
            <w:tcMar>
              <w:top w:w="16" w:type="dxa"/>
              <w:bottom w:w="16" w:type="dxa"/>
              <w:left w:w="50" w:type="dxa"/>
              <w:right w:w="50" w:type="dxa"/>
            </w:tcMar>
          </w:tcPr>
          <w:p>
            <w:pPr>
              <w:spacing w:before="0" w:after="0"/>
            </w:pPr>
            <w:r>
              <w:rPr>
                <w:rFonts w:ascii="Times New Roman" w:hAnsi="Times New Roman"/>
                <w:sz w:val="15"/>
              </w:rPr>
              <w:t>Unified Modeling Language</w:t>
            </w:r>
          </w:p>
        </w:tc>
      </w:tr>
      <w:tr>
        <w:tc>
          <w:tcPr>
            <w:tcW w:type="dxa" w:w="1296"/>
            <w:tcMar>
              <w:top w:w="16" w:type="dxa"/>
              <w:bottom w:w="16" w:type="dxa"/>
              <w:left w:w="50" w:type="dxa"/>
              <w:right w:w="50" w:type="dxa"/>
            </w:tcMar>
          </w:tcPr>
          <w:p>
            <w:pPr>
              <w:spacing w:before="0" w:after="0"/>
            </w:pPr>
            <w:r>
              <w:rPr>
                <w:rFonts w:ascii="Times New Roman" w:hAnsi="Times New Roman"/>
                <w:b/>
                <w:sz w:val="15"/>
              </w:rPr>
              <w:t>IBS</w:t>
            </w:r>
          </w:p>
        </w:tc>
        <w:tc>
          <w:tcPr>
            <w:tcW w:type="dxa" w:w="3312"/>
            <w:tcMar>
              <w:top w:w="16" w:type="dxa"/>
              <w:bottom w:w="16" w:type="dxa"/>
              <w:left w:w="50" w:type="dxa"/>
              <w:right w:w="50" w:type="dxa"/>
            </w:tcMar>
          </w:tcPr>
          <w:p>
            <w:pPr>
              <w:spacing w:before="0" w:after="0"/>
            </w:pPr>
            <w:r>
              <w:rPr>
                <w:rFonts w:ascii="Times New Roman" w:hAnsi="Times New Roman"/>
                <w:sz w:val="15"/>
              </w:rPr>
              <w:t>Integrated Brier Score</w:t>
            </w:r>
          </w:p>
        </w:tc>
        <w:tc>
          <w:tcPr>
            <w:tcW w:type="dxa" w:w="1296"/>
            <w:tcMar>
              <w:top w:w="16" w:type="dxa"/>
              <w:bottom w:w="16" w:type="dxa"/>
              <w:left w:w="50" w:type="dxa"/>
              <w:right w:w="50" w:type="dxa"/>
            </w:tcMar>
          </w:tcPr>
          <w:p>
            <w:pPr>
              <w:spacing w:before="0" w:after="0"/>
            </w:pPr>
            <w:r>
              <w:rPr>
                <w:rFonts w:ascii="Times New Roman" w:hAnsi="Times New Roman"/>
                <w:b/>
                <w:sz w:val="15"/>
              </w:rPr>
              <w:t>YAML</w:t>
            </w:r>
          </w:p>
        </w:tc>
        <w:tc>
          <w:tcPr>
            <w:tcW w:type="dxa" w:w="3456"/>
            <w:tcMar>
              <w:top w:w="16" w:type="dxa"/>
              <w:bottom w:w="16" w:type="dxa"/>
              <w:left w:w="50" w:type="dxa"/>
              <w:right w:w="50" w:type="dxa"/>
            </w:tcMar>
          </w:tcPr>
          <w:p>
            <w:pPr>
              <w:spacing w:before="0" w:after="0"/>
            </w:pPr>
            <w:r>
              <w:rPr>
                <w:rFonts w:ascii="Times New Roman" w:hAnsi="Times New Roman"/>
                <w:sz w:val="15"/>
              </w:rPr>
              <w:t>YAML Ain't Markup Language</w:t>
            </w:r>
          </w:p>
        </w:tc>
      </w:tr>
    </w:tbl>
    <w:p>
      <w:r>
        <w:br w:type="page"/>
      </w:r>
    </w:p>
    <w:p>
      <w:pPr>
        <w:spacing w:before="300" w:after="240" w:line="276" w:lineRule="auto"/>
        <w:jc w:val="left"/>
      </w:pPr>
      <w:r>
        <w:rPr>
          <w:rFonts w:ascii="Times New Roman" w:hAnsi="Times New Roman"/>
          <w:b/>
          <w:color w:val="0F1E41"/>
          <w:sz w:val="30"/>
        </w:rPr>
        <w:t>CHAPTER 1: INTRODUCTION</w:t>
      </w:r>
    </w:p>
    <w:p>
      <w:pPr>
        <w:spacing w:before="0" w:after="80" w:line="276" w:lineRule="auto"/>
        <w:jc w:val="both"/>
      </w:pPr>
      <w:r>
        <w:rPr>
          <w:rFonts w:ascii="Times New Roman" w:hAnsi="Times New Roman"/>
          <w:color w:val="1E232D"/>
          <w:sz w:val="22"/>
        </w:rPr>
        <w:t>Customer churn—the voluntary or involuntary cessation of a contractual or recurring relationship between a subscriber and a service provider—represents an existential commercial challenge across modern subscription economies. In capital-intensive industries such as telecommunications, cloud Software-as-a-Service (SaaS), digital streaming media, and retail banking, the financial dynamics of customer acquisition versus customer retention have diverged dramatically. Contemporary market studies consistently demonstrate that acquiring a new enterprise or retail subscriber requires between five to seven times the capital expenditure required to retain an existing customer. Moreover, retained subscribers exhibit compounding lifetime profitability: tenured cohorts consume less frontline customer support, demonstrate higher openness to cross-selling and tier upgrades, and serve as organic advocates within their peer ecosystems. Consequently, a marginal reduction in annual attrition (even by 1 to 2 percentage points) translates directly into tens of millions of dollars in preserved Enterprise Value.</w:t>
      </w:r>
    </w:p>
    <w:p>
      <w:pPr>
        <w:spacing w:before="0" w:after="80" w:line="276" w:lineRule="auto"/>
        <w:jc w:val="both"/>
      </w:pPr>
      <w:r>
        <w:rPr>
          <w:rFonts w:ascii="Times New Roman" w:hAnsi="Times New Roman"/>
          <w:color w:val="1E232D"/>
          <w:sz w:val="22"/>
        </w:rPr>
        <w:t>Despite the paramount strategic importance of customer preservation, contemporary enterprise churn management remains crippled by foundational methodological limitations. Standard industry practice treats churn prediction almost exclusively as a static, binary classification problem. In such setups, supervised learning algorithms—ranging from classic Logistic Regression to modern gradient-boosted decision trees (XGBoost, LightGBM, CatBoost)—are trained on historical customer feature snapshots to predict a single binary label: whether a subscriber will cancel their subscription within an arbitrary observation window (typically 30, 60, or 90 days). While computationally straightforward to implement, this formulation introduces severe theoretical distortions that undermine both predictive accuracy and commercial decision-making.</w:t>
      </w:r>
    </w:p>
    <w:p>
      <w:pPr>
        <w:spacing w:before="0" w:after="80" w:line="276" w:lineRule="auto"/>
        <w:jc w:val="both"/>
      </w:pPr>
      <w:r>
        <w:rPr>
          <w:rFonts w:ascii="Times New Roman" w:hAnsi="Times New Roman"/>
          <w:color w:val="1E232D"/>
          <w:sz w:val="22"/>
        </w:rPr>
        <w:t>The first fundamental flaw is survival blindness: binary classification collapses the entire temporal continuum into a single dichotomous outcome. A customer who cancels their account on Day 3 post-onboarding is treated as functionally identical to a highly profitable, multi-year subscriber who leaves on Day 89 of a 90-day observation window. This loss of temporal granularity prevents retention teams from understanding whether attrition represents an immediate onboarding friction, a contractual expiration shock, or a gradual long-term erosion of product engagement.</w:t>
      </w:r>
    </w:p>
    <w:p>
      <w:pPr>
        <w:spacing w:before="0" w:after="80" w:line="276" w:lineRule="auto"/>
        <w:jc w:val="both"/>
      </w:pPr>
      <w:r>
        <w:rPr>
          <w:rFonts w:ascii="Times New Roman" w:hAnsi="Times New Roman"/>
          <w:color w:val="1E232D"/>
          <w:sz w:val="22"/>
        </w:rPr>
        <w:t>The second and more profound statistical failure is the mishandling of right censoring. In any operational customer database, the vast majority of active subscribers have not yet churned as of the observation cut-off date. In standard survival statistics, these observations are 'right-censored'—their true churn event time T is known only to exceed the current elapsed tenure t (i.e., T &gt; t). Binary classification models have no native mathematical mechanism to process censored observations. Consequently, practitioners are forced either to drop active subscribers from historical training splits or to arbitrarily assign them a 'non-churn' label of zero. Dropping active accounts induces catastrophic selection bias, while labeling them as zero fundamentally misrepresents the data generating process, penalizing long-lived accounts and producing severe downward survival bias.</w:t>
      </w:r>
    </w:p>
    <w:p>
      <w:pPr>
        <w:spacing w:before="0" w:after="80" w:line="276" w:lineRule="auto"/>
        <w:jc w:val="both"/>
      </w:pPr>
      <w:r>
        <w:rPr>
          <w:rFonts w:ascii="Times New Roman" w:hAnsi="Times New Roman"/>
          <w:color w:val="1E232D"/>
          <w:sz w:val="22"/>
        </w:rPr>
        <w:t>Most critically, existing commercial workflows suffer from an association-versus-causation fallacy. Marketing operations routinely treat the output of a churn classifier—the predicted probability of attrition—as a direct ranking of customer intervention priority. Retention marketing teams blast aggressive promotional discounts and retention credits to the top decile of highest-risk accounts. This strategy represents a massive misallocation of corporate capital. Groundbreaking work in causal inference and uplift modeling reveals that customers with the highest baseline churn risk are frequently 'Lost Causes'—individuals whose decision to depart is driven by exogenous factors (e.g., relocation, business bankruptcy, fundamental price incompatibility) that cannot be altered by promotional offers. Conversely, allocating discounts to highly tenured subscribers who would have renewed organically ('Sure Things') merely erodes recurring margins without generating incremental retention value. Worse still, intrusive outbound retention calls frequently disturb dormant subscribers ('Sleeping Dogs'), triggering unforced cancellations that would not have occurred otherwise.</w:t>
      </w:r>
    </w:p>
    <w:p>
      <w:pPr>
        <w:spacing w:before="0" w:after="80" w:line="276" w:lineRule="auto"/>
        <w:jc w:val="both"/>
      </w:pPr>
      <w:r>
        <w:rPr>
          <w:rFonts w:ascii="Times New Roman" w:hAnsi="Times New Roman"/>
          <w:color w:val="1E232D"/>
          <w:sz w:val="22"/>
        </w:rPr>
        <w:t>To fundamentally resolve these structural shortcomings, this capstone project develops RetainIQ (Project ID: BDS-11): an integrated, production-grade enterprise decision-support ecosystem. RetainIQ replaces point-in-time binary classification with continuous-time statistical survival analysis, and replaces naive risk-based targeting with heterogeneous causal uplift modeling and constrained Expected Retention Value (ERV) optimization. By unifying statistical survival theory, modern causal meta-learners, tamper-evident audit logging, and low-latency API architecture, RetainIQ bridges the gap between machine learning research and prescriptive business economics.</w:t>
      </w:r>
    </w:p>
    <w:p>
      <w:pPr>
        <w:spacing w:before="160" w:after="80" w:line="276" w:lineRule="auto"/>
        <w:jc w:val="left"/>
      </w:pPr>
      <w:r>
        <w:rPr>
          <w:rFonts w:ascii="Times New Roman" w:hAnsi="Times New Roman"/>
          <w:b/>
          <w:color w:val="142D55"/>
          <w:sz w:val="26"/>
        </w:rPr>
        <w:t>1.1 SIGNIFICANCE OF THE PROJECT</w:t>
      </w:r>
    </w:p>
    <w:p>
      <w:pPr>
        <w:spacing w:before="0" w:after="80" w:line="276" w:lineRule="auto"/>
        <w:jc w:val="both"/>
      </w:pPr>
      <w:r>
        <w:rPr>
          <w:rFonts w:ascii="Times New Roman" w:hAnsi="Times New Roman"/>
          <w:color w:val="1E232D"/>
          <w:sz w:val="22"/>
        </w:rPr>
        <w:t>The technical and commercial significance of RetainIQ spans multiple dimensions of modern data science, statistical modeling, and strategic enterprise decision support:</w:t>
      </w:r>
    </w:p>
    <w:p>
      <w:pPr>
        <w:spacing w:before="0" w:after="80" w:line="276" w:lineRule="auto"/>
        <w:jc w:val="both"/>
      </w:pPr>
      <w:r>
        <w:rPr>
          <w:rFonts w:ascii="Times New Roman" w:hAnsi="Times New Roman"/>
          <w:b/>
          <w:color w:val="141E2D"/>
          <w:sz w:val="22"/>
        </w:rPr>
        <w:t xml:space="preserve">1. Advanced Methodological Synthesis: </w:t>
      </w:r>
      <w:r>
        <w:rPr>
          <w:rFonts w:ascii="Times New Roman" w:hAnsi="Times New Roman"/>
          <w:color w:val="1E232D"/>
          <w:sz w:val="22"/>
        </w:rPr>
        <w:t>From an applied machine learning perspective, survival analysis provides a mathematically principled framework for time-to-event phenomena under right censoring. By modeling both the hazard rate h(t) and the survival probability function S(t) = P(T &gt; t), RetainIQ allows data science teams to extract continuous risk trajectories across arbitrary operational horizons (e.g., 30, 60, 90, 180, and 365 days) from a single unified model. This eliminates the technical debt and maintenance burden of training separate binary classifiers for every operational timeframe.</w:t>
      </w:r>
    </w:p>
    <w:p>
      <w:pPr>
        <w:spacing w:before="0" w:after="80" w:line="276" w:lineRule="auto"/>
        <w:jc w:val="both"/>
      </w:pPr>
      <w:r>
        <w:rPr>
          <w:rFonts w:ascii="Times New Roman" w:hAnsi="Times New Roman"/>
          <w:b/>
          <w:color w:val="141E2D"/>
          <w:sz w:val="22"/>
        </w:rPr>
        <w:t xml:space="preserve">2. Bridging Prediction and Causal Prescription: </w:t>
      </w:r>
      <w:r>
        <w:rPr>
          <w:rFonts w:ascii="Times New Roman" w:hAnsi="Times New Roman"/>
          <w:color w:val="1E232D"/>
          <w:sz w:val="22"/>
        </w:rPr>
        <w:t>Standard machine learning focuses exclusively on observational prediction (E[Y | X]), answering the question: 'What is the likelihood this customer churns?' In contrast, retention operations require counterfactual decision support: 'How will this customer's survival probability change if we administer treatment k versus no intervention?' By deploying causal Meta-Learners (T-Learners and S-Learners) to estimate Conditional Average Treatment Effects (CATE), RetainIQ shifts the paradigm from passive risk scoring to active causal prescription.</w:t>
      </w:r>
    </w:p>
    <w:p>
      <w:pPr>
        <w:spacing w:before="0" w:after="80" w:line="276" w:lineRule="auto"/>
        <w:jc w:val="both"/>
      </w:pPr>
      <w:r>
        <w:rPr>
          <w:rFonts w:ascii="Times New Roman" w:hAnsi="Times New Roman"/>
          <w:b/>
          <w:color w:val="141E2D"/>
          <w:sz w:val="22"/>
        </w:rPr>
        <w:t xml:space="preserve">3. Capital Efficiency and Margin Protection: </w:t>
      </w:r>
      <w:r>
        <w:rPr>
          <w:rFonts w:ascii="Times New Roman" w:hAnsi="Times New Roman"/>
          <w:color w:val="1E232D"/>
          <w:sz w:val="22"/>
        </w:rPr>
        <w:t>Enterprise retention marketing budgets are inherently finite. By formulating the decision problem as a knapsack-style Expected Retention Value (ERV) optimization, RetainIQ ensures that every marketing dollar spent produces measurable marginal return on investment (ROI). The system explicitly evaluates intervention unit costs against customer Lifetime Value (LTV) and counterfactual survival gains, enforcing an automated economic fallback to 'No Intervention' when the cost of treatment exceeds expected value.</w:t>
      </w:r>
    </w:p>
    <w:p>
      <w:pPr>
        <w:spacing w:before="0" w:after="80" w:line="276" w:lineRule="auto"/>
        <w:jc w:val="both"/>
      </w:pPr>
      <w:r>
        <w:rPr>
          <w:rFonts w:ascii="Times New Roman" w:hAnsi="Times New Roman"/>
          <w:b/>
          <w:color w:val="141E2D"/>
          <w:sz w:val="22"/>
        </w:rPr>
        <w:t xml:space="preserve">4. Enterprise Governance and Regulatory Auditability: </w:t>
      </w:r>
      <w:r>
        <w:rPr>
          <w:rFonts w:ascii="Times New Roman" w:hAnsi="Times New Roman"/>
          <w:color w:val="1E232D"/>
          <w:sz w:val="22"/>
        </w:rPr>
        <w:t>In enterprise environments governed by stringent compliance standards (such as GDPR, CCPA, and internal risk oversight), algorithmic recommendations cannot operate as unmonitored black boxes. RetainIQ establishes an immutable cryptographic SHA-256 audit ledger tracking every algorithmic recommendation and human override. Coupled with continuous Population Stability Index (PSI) tracking and multi-tier stress testing, the system sets a new standard for responsible, auditable AI governance.</w:t>
      </w:r>
    </w:p>
    <w:p>
      <w:pPr>
        <w:spacing w:before="160" w:after="80" w:line="276" w:lineRule="auto"/>
        <w:jc w:val="left"/>
      </w:pPr>
      <w:r>
        <w:rPr>
          <w:rFonts w:ascii="Times New Roman" w:hAnsi="Times New Roman"/>
          <w:b/>
          <w:color w:val="142D55"/>
          <w:sz w:val="26"/>
        </w:rPr>
        <w:t>1.2 PROJECT OBJECTIVES</w:t>
      </w:r>
    </w:p>
    <w:p>
      <w:pPr>
        <w:spacing w:before="0" w:after="80" w:line="276" w:lineRule="auto"/>
        <w:jc w:val="both"/>
      </w:pPr>
      <w:r>
        <w:rPr>
          <w:rFonts w:ascii="Times New Roman" w:hAnsi="Times New Roman"/>
          <w:color w:val="1E232D"/>
          <w:sz w:val="22"/>
        </w:rPr>
        <w:t>The overarching mission of RetainIQ is to engineer, validate, and deploy a complete prescriptive churn retention platform. The project is structured around six concrete, verifiable technical objectives:</w:t>
      </w:r>
    </w:p>
    <w:p>
      <w:pPr>
        <w:spacing w:before="60" w:after="80" w:line="276" w:lineRule="auto"/>
        <w:jc w:val="both"/>
      </w:pPr>
      <w:r>
        <w:rPr>
          <w:rFonts w:ascii="Times New Roman" w:hAnsi="Times New Roman"/>
          <w:b/>
          <w:color w:val="141E2D"/>
          <w:sz w:val="22"/>
        </w:rPr>
        <w:t xml:space="preserve">Objective 1: Ingestion &amp; Leakage-Free Preprocessing Pipeline. </w:t>
      </w:r>
      <w:r>
        <w:rPr>
          <w:rFonts w:ascii="Times New Roman" w:hAnsi="Times New Roman"/>
          <w:color w:val="1E232D"/>
          <w:sz w:val="22"/>
        </w:rPr>
        <w:t>Design and implement an end-to-end data processing pipeline for authentic telecommunications telemetry (IBM Telco cohort of 7,043 subscribers). The pipeline must handle whitespace missingness, enforce strict schema validation, perform one-hot categorical encoding with baseline drop, and isolate train/test splits prior to transformation to achieve a verified 0% data leakage status.</w:t>
      </w:r>
    </w:p>
    <w:p>
      <w:pPr>
        <w:spacing w:before="60" w:after="80" w:line="276" w:lineRule="auto"/>
        <w:jc w:val="both"/>
      </w:pPr>
      <w:r>
        <w:rPr>
          <w:rFonts w:ascii="Times New Roman" w:hAnsi="Times New Roman"/>
          <w:b/>
          <w:color w:val="141E2D"/>
          <w:sz w:val="22"/>
        </w:rPr>
        <w:t xml:space="preserve">Objective 2: Multi-Paradigm Survival Modeling &amp; Benchmarking. </w:t>
      </w:r>
      <w:r>
        <w:rPr>
          <w:rFonts w:ascii="Times New Roman" w:hAnsi="Times New Roman"/>
          <w:color w:val="1E232D"/>
          <w:sz w:val="22"/>
        </w:rPr>
        <w:t>Implement, tune, and systematically benchmark four foundational survival modeling paradigms: non-parametric Kaplan-Meier estimation, semi-parametric Cox Proportional Hazards (M1), parametric Weibull Accelerated Failure Time (M2), and non-linear Random Survival Forests (M3). Evaluate performance using Harrell's Concordance Index (C-Index) and Integrated Brier Score (IBS) across 30, 60, 90, and 180-day operational horizons.</w:t>
      </w:r>
    </w:p>
    <w:p>
      <w:pPr>
        <w:spacing w:before="60" w:after="80" w:line="276" w:lineRule="auto"/>
        <w:jc w:val="both"/>
      </w:pPr>
      <w:r>
        <w:rPr>
          <w:rFonts w:ascii="Times New Roman" w:hAnsi="Times New Roman"/>
          <w:b/>
          <w:color w:val="141E2D"/>
          <w:sz w:val="22"/>
        </w:rPr>
        <w:t xml:space="preserve">Objective 3: Heterogeneous Causal Treatment Effect (CATE) Estimation. </w:t>
      </w:r>
      <w:r>
        <w:rPr>
          <w:rFonts w:ascii="Times New Roman" w:hAnsi="Times New Roman"/>
          <w:color w:val="1E232D"/>
          <w:sz w:val="22"/>
        </w:rPr>
        <w:t>Formulate and deploy causal Meta-Learner architectures (S-Learner, T-Learner, and X-Learner) to estimate the counterfactual survival uplift tau_k(x) = Delta S(t|x) attributable to four candidate retention interventions: Basic Check-in ($5.00), Proactive Tech Support ($12.00), 15% Bill Discount ($18.50), and Long-Term Contract Incentive ($35.00). Validate ranking efficacy using cumulative Qini curves and PEHE RMSE.</w:t>
      </w:r>
    </w:p>
    <w:p>
      <w:pPr>
        <w:spacing w:before="60" w:after="80" w:line="276" w:lineRule="auto"/>
        <w:jc w:val="both"/>
      </w:pPr>
      <w:r>
        <w:rPr>
          <w:rFonts w:ascii="Times New Roman" w:hAnsi="Times New Roman"/>
          <w:b/>
          <w:color w:val="141E2D"/>
          <w:sz w:val="22"/>
        </w:rPr>
        <w:t xml:space="preserve">Objective 4: Prescriptive Ranking &amp; ERV Economic Engine. </w:t>
      </w:r>
      <w:r>
        <w:rPr>
          <w:rFonts w:ascii="Times New Roman" w:hAnsi="Times New Roman"/>
          <w:color w:val="1E232D"/>
          <w:sz w:val="22"/>
        </w:rPr>
        <w:t>Develop a personalized ranking engine that evaluates net Expected Retention Value (ERV = Delta S * LTV - Cost) for every customer-treatment pair. Implement constrained portfolio knapsack optimization that maximizes aggregate retained revenue under strict marketing budget caps while enforcing automated zero-cost fallbacks for non-responsive accounts.</w:t>
      </w:r>
    </w:p>
    <w:p>
      <w:pPr>
        <w:spacing w:before="60" w:after="80" w:line="276" w:lineRule="auto"/>
        <w:jc w:val="both"/>
      </w:pPr>
      <w:r>
        <w:rPr>
          <w:rFonts w:ascii="Times New Roman" w:hAnsi="Times New Roman"/>
          <w:b/>
          <w:color w:val="141E2D"/>
          <w:sz w:val="22"/>
        </w:rPr>
        <w:t xml:space="preserve">Objective 5: Enterprise Governance, Cryptographic Audit &amp; Stress Testing. </w:t>
      </w:r>
      <w:r>
        <w:rPr>
          <w:rFonts w:ascii="Times New Roman" w:hAnsi="Times New Roman"/>
          <w:color w:val="1E232D"/>
          <w:sz w:val="22"/>
        </w:rPr>
        <w:t>Engineer a tamper-evident audit trail using SHA-256 cryptographic hash chaining to record algorithmic decisions and manual analyst overrides. Implement automated Population Stability Index (PSI) drift monitoring and adversarial stress testing suites evaluating model resilience under feature noise and data missingness up to 30%.</w:t>
      </w:r>
    </w:p>
    <w:p>
      <w:pPr>
        <w:spacing w:before="60" w:after="80" w:line="276" w:lineRule="auto"/>
        <w:jc w:val="both"/>
      </w:pPr>
      <w:r>
        <w:rPr>
          <w:rFonts w:ascii="Times New Roman" w:hAnsi="Times New Roman"/>
          <w:b/>
          <w:color w:val="141E2D"/>
          <w:sz w:val="22"/>
        </w:rPr>
        <w:t xml:space="preserve">Objective 6: Dual Production Interfaces (FastAPI &amp; Streamlit). </w:t>
      </w:r>
      <w:r>
        <w:rPr>
          <w:rFonts w:ascii="Times New Roman" w:hAnsi="Times New Roman"/>
          <w:color w:val="1E232D"/>
          <w:sz w:val="22"/>
        </w:rPr>
        <w:t>Deliver a production-ready dual-interface system comprising: (a) a high-throughput, low-latency RESTful microservice built with FastAPI, supporting Pydantic-validated real-time scoring endpoints (&lt;15ms latency), and (b) an interactive, 11-page decision cockpit built with Streamlit providing executive portfolio summaries, customer 360 exploration, and what-if counterfactual simulators.</w:t>
      </w:r>
    </w:p>
    <w:p>
      <w:pPr>
        <w:spacing w:before="160" w:after="80" w:line="276" w:lineRule="auto"/>
        <w:jc w:val="left"/>
      </w:pPr>
      <w:r>
        <w:rPr>
          <w:rFonts w:ascii="Times New Roman" w:hAnsi="Times New Roman"/>
          <w:b/>
          <w:color w:val="142D55"/>
          <w:sz w:val="26"/>
        </w:rPr>
        <w:t>1.3 PURPOSE AND SCOPE</w:t>
      </w:r>
    </w:p>
    <w:p>
      <w:pPr>
        <w:spacing w:before="120" w:after="60" w:line="276" w:lineRule="auto"/>
        <w:jc w:val="left"/>
      </w:pPr>
      <w:r>
        <w:rPr>
          <w:rFonts w:ascii="Times New Roman" w:hAnsi="Times New Roman"/>
          <w:b/>
          <w:color w:val="1E375F"/>
          <w:sz w:val="23"/>
        </w:rPr>
        <w:t>1.3.1 Purpose</w:t>
      </w:r>
    </w:p>
    <w:p>
      <w:pPr>
        <w:spacing w:before="0" w:after="80" w:line="276" w:lineRule="auto"/>
        <w:jc w:val="both"/>
      </w:pPr>
      <w:r>
        <w:rPr>
          <w:rFonts w:ascii="Times New Roman" w:hAnsi="Times New Roman"/>
          <w:color w:val="1E232D"/>
          <w:sz w:val="22"/>
        </w:rPr>
        <w:t>The primary purpose of RetainIQ is to replace intuitive, ad-hoc, and economically destructive retention targeting practices with a mathematically rigorous, causally sound, and capital-efficient decision system. By transforming raw customer telemetry into calibrated survival probability curves and counterfactual uplift surfaces, RetainIQ empowers retention directors, marketing strategists, and customer success teams to answer three critical operational questions with quantitative certainty: (1) Exactly when is a specific subscriber at risk of departing? (2) Which specific intervention will maximize that subscriber's incremental survival duration? and (3) Does the expected financial gain from saving this customer exceed the cost of the prescribed intervention?</w:t>
      </w:r>
    </w:p>
    <w:p>
      <w:pPr>
        <w:spacing w:before="120" w:after="60" w:line="276" w:lineRule="auto"/>
        <w:jc w:val="left"/>
      </w:pPr>
      <w:r>
        <w:rPr>
          <w:rFonts w:ascii="Times New Roman" w:hAnsi="Times New Roman"/>
          <w:b/>
          <w:color w:val="1E375F"/>
          <w:sz w:val="23"/>
        </w:rPr>
        <w:t>1.3.2 Scope and Boundary Conditions</w:t>
      </w:r>
    </w:p>
    <w:p>
      <w:pPr>
        <w:spacing w:before="0" w:after="80" w:line="276" w:lineRule="auto"/>
        <w:jc w:val="both"/>
      </w:pPr>
      <w:r>
        <w:rPr>
          <w:rFonts w:ascii="Times New Roman" w:hAnsi="Times New Roman"/>
          <w:color w:val="1E232D"/>
          <w:sz w:val="22"/>
        </w:rPr>
        <w:t>To ensure academic rigor and engineering excellence, the operational scope and boundary conditions of this project are strictly defined:</w:t>
      </w:r>
    </w:p>
    <w:p>
      <w:pPr>
        <w:spacing w:before="40" w:after="60" w:line="276" w:lineRule="auto"/>
        <w:jc w:val="both"/>
      </w:pPr>
      <w:r>
        <w:rPr>
          <w:rFonts w:ascii="Times New Roman" w:hAnsi="Times New Roman"/>
          <w:b/>
          <w:color w:val="141E2D"/>
          <w:sz w:val="22"/>
        </w:rPr>
        <w:t xml:space="preserve">Survival Analysis: </w:t>
      </w:r>
      <w:r>
        <w:rPr>
          <w:rFonts w:ascii="Times New Roman" w:hAnsi="Times New Roman"/>
          <w:color w:val="1E232D"/>
          <w:sz w:val="22"/>
        </w:rPr>
        <w:t>Complete non-parametric, semi-parametric, and parametric survival curve estimation, hazard ratio attribution, time-dependent Brier score calibration, and Harrell's C-index evaluation across 7,043 telecommunications accounts.</w:t>
      </w:r>
    </w:p>
    <w:p>
      <w:pPr>
        <w:spacing w:before="40" w:after="60" w:line="276" w:lineRule="auto"/>
        <w:jc w:val="both"/>
      </w:pPr>
      <w:r>
        <w:rPr>
          <w:rFonts w:ascii="Times New Roman" w:hAnsi="Times New Roman"/>
          <w:b/>
          <w:color w:val="141E2D"/>
          <w:sz w:val="22"/>
        </w:rPr>
        <w:t xml:space="preserve">Causal Uplift Modeling: </w:t>
      </w:r>
      <w:r>
        <w:rPr>
          <w:rFonts w:ascii="Times New Roman" w:hAnsi="Times New Roman"/>
          <w:color w:val="1E232D"/>
          <w:sz w:val="22"/>
        </w:rPr>
        <w:t>Implementation of S-Learner, T-Learner, and X-Learner meta-learning frameworks estimating individual-level heterogeneous treatment effects across four predefined operational retention interventions.</w:t>
      </w:r>
    </w:p>
    <w:p>
      <w:pPr>
        <w:spacing w:before="40" w:after="60" w:line="276" w:lineRule="auto"/>
        <w:jc w:val="both"/>
      </w:pPr>
      <w:r>
        <w:rPr>
          <w:rFonts w:ascii="Times New Roman" w:hAnsi="Times New Roman"/>
          <w:b/>
          <w:color w:val="141E2D"/>
          <w:sz w:val="22"/>
        </w:rPr>
        <w:t xml:space="preserve">Prescriptive Economic Optimization: </w:t>
      </w:r>
      <w:r>
        <w:rPr>
          <w:rFonts w:ascii="Times New Roman" w:hAnsi="Times New Roman"/>
          <w:color w:val="1E232D"/>
          <w:sz w:val="22"/>
        </w:rPr>
        <w:t>Individual-level ERV ranking, portfolio knapsack budget optimization, margin-protecting fallback logic, and single-customer counterfactual what-if simulation.</w:t>
      </w:r>
    </w:p>
    <w:p>
      <w:pPr>
        <w:spacing w:before="40" w:after="60" w:line="276" w:lineRule="auto"/>
        <w:jc w:val="both"/>
      </w:pPr>
      <w:r>
        <w:rPr>
          <w:rFonts w:ascii="Times New Roman" w:hAnsi="Times New Roman"/>
          <w:b/>
          <w:color w:val="141E2D"/>
          <w:sz w:val="22"/>
        </w:rPr>
        <w:t xml:space="preserve">Enterprise Governance: </w:t>
      </w:r>
      <w:r>
        <w:rPr>
          <w:rFonts w:ascii="Times New Roman" w:hAnsi="Times New Roman"/>
          <w:color w:val="1E232D"/>
          <w:sz w:val="22"/>
        </w:rPr>
        <w:t>Cryptographic SHA-256 audit logging, automated tamper verification, PSI drift monitoring, and adversarial missingness/noise stress testing.</w:t>
      </w:r>
    </w:p>
    <w:p>
      <w:pPr>
        <w:spacing w:before="40" w:after="60" w:line="276" w:lineRule="auto"/>
        <w:jc w:val="both"/>
      </w:pPr>
      <w:r>
        <w:rPr>
          <w:rFonts w:ascii="Times New Roman" w:hAnsi="Times New Roman"/>
          <w:b/>
          <w:color w:val="141E2D"/>
          <w:sz w:val="22"/>
        </w:rPr>
        <w:t xml:space="preserve">Software Engineering &amp; Delivery: </w:t>
      </w:r>
      <w:r>
        <w:rPr>
          <w:rFonts w:ascii="Times New Roman" w:hAnsi="Times New Roman"/>
          <w:color w:val="1E232D"/>
          <w:sz w:val="22"/>
        </w:rPr>
        <w:t>Full implementation of a 27-test automated pytest verification suite, FastAPI REST microservice, and an 11-page interactive Streamlit dashboard.</w:t>
      </w:r>
    </w:p>
    <w:p>
      <w:pPr>
        <w:spacing w:before="80" w:after="80" w:line="276" w:lineRule="auto"/>
        <w:jc w:val="both"/>
      </w:pPr>
      <w:r>
        <w:rPr>
          <w:rFonts w:ascii="Times New Roman" w:hAnsi="Times New Roman"/>
          <w:b/>
          <w:sz w:val="22"/>
        </w:rPr>
        <w:t xml:space="preserve">Explicit Out-of-Scope Boundaries: </w:t>
      </w:r>
      <w:r>
        <w:rPr>
          <w:rFonts w:ascii="Times New Roman" w:hAnsi="Times New Roman"/>
          <w:sz w:val="22"/>
        </w:rPr>
        <w:t>This project does not encompass physical telecommunications hardware telemetry (e.g., real-time cell tower packet routing or optical fiber signal attenuation), online continuous reinforcement learning under non-stationary real-world streaming data, or outbound physical telephony call-center dialing automation. In addition, in accordance with the project instructions, treatment effects are estimated and benchmarked on observational and simulated intervention telemetry rather than an active, multi-million-dollar randomized clinical trial.</w:t>
      </w:r>
    </w:p>
    <w:p>
      <w:pPr>
        <w:spacing w:before="160" w:after="80" w:line="276" w:lineRule="auto"/>
        <w:jc w:val="left"/>
      </w:pPr>
      <w:r>
        <w:rPr>
          <w:rFonts w:ascii="Times New Roman" w:hAnsi="Times New Roman"/>
          <w:b/>
          <w:color w:val="142D55"/>
          <w:sz w:val="26"/>
        </w:rPr>
        <w:t>1.4 ENTERPRISE APPLICABILITY</w:t>
      </w:r>
    </w:p>
    <w:p>
      <w:pPr>
        <w:spacing w:before="0" w:after="80" w:line="276" w:lineRule="auto"/>
        <w:jc w:val="both"/>
      </w:pPr>
      <w:r>
        <w:rPr>
          <w:rFonts w:ascii="Times New Roman" w:hAnsi="Times New Roman"/>
          <w:color w:val="1E232D"/>
          <w:sz w:val="22"/>
        </w:rPr>
        <w:t>While demonstrated on an authentic telecommunications cohort, the underlying mathematical and architectural principles of RetainIQ are universally applicable across diverse recurring-revenue and contractual business models:</w:t>
      </w:r>
    </w:p>
    <w:p>
      <w:pPr>
        <w:spacing w:before="40" w:after="60" w:line="276" w:lineRule="auto"/>
        <w:jc w:val="both"/>
      </w:pPr>
      <w:r>
        <w:rPr>
          <w:rFonts w:ascii="Times New Roman" w:hAnsi="Times New Roman"/>
          <w:b/>
          <w:color w:val="141E2D"/>
          <w:sz w:val="22"/>
        </w:rPr>
        <w:t xml:space="preserve">Telecommunications and Internet Service Providers (ISPs): </w:t>
      </w:r>
      <w:r>
        <w:rPr>
          <w:rFonts w:ascii="Times New Roman" w:hAnsi="Times New Roman"/>
          <w:color w:val="1E232D"/>
          <w:sz w:val="22"/>
        </w:rPr>
        <w:t>Optimizing contract renewal incentives, equipment upgrades (e.g., fiber router migrations), and bundle discounts for high-value subscribers facing fiber-optic competitive pressures.</w:t>
      </w:r>
    </w:p>
    <w:p>
      <w:pPr>
        <w:spacing w:before="40" w:after="60" w:line="276" w:lineRule="auto"/>
        <w:jc w:val="both"/>
      </w:pPr>
      <w:r>
        <w:rPr>
          <w:rFonts w:ascii="Times New Roman" w:hAnsi="Times New Roman"/>
          <w:b/>
          <w:color w:val="141E2D"/>
          <w:sz w:val="22"/>
        </w:rPr>
        <w:t xml:space="preserve">Enterprise Cloud Software-as-a-Service (SaaS): </w:t>
      </w:r>
      <w:r>
        <w:rPr>
          <w:rFonts w:ascii="Times New Roman" w:hAnsi="Times New Roman"/>
          <w:color w:val="1E232D"/>
          <w:sz w:val="22"/>
        </w:rPr>
        <w:t>Preserving recurring software licenses by tracking seat utilization and feature engagement decay, deploying proactive customer success training interventions prior to annual master service agreement (MSA) renewals.</w:t>
      </w:r>
    </w:p>
    <w:p>
      <w:pPr>
        <w:spacing w:before="40" w:after="60" w:line="276" w:lineRule="auto"/>
        <w:jc w:val="both"/>
      </w:pPr>
      <w:r>
        <w:rPr>
          <w:rFonts w:ascii="Times New Roman" w:hAnsi="Times New Roman"/>
          <w:b/>
          <w:color w:val="141E2D"/>
          <w:sz w:val="22"/>
        </w:rPr>
        <w:t xml:space="preserve">Direct-to-Consumer (D2C) Subscription Media: </w:t>
      </w:r>
      <w:r>
        <w:rPr>
          <w:rFonts w:ascii="Times New Roman" w:hAnsi="Times New Roman"/>
          <w:color w:val="1E232D"/>
          <w:sz w:val="22"/>
        </w:rPr>
        <w:t>Preventing subscriber attrition on platforms such as Netflix, Spotify, or digital news publications by deploying personalized content recommendations or temporary billing pauses to disengaged accounts without cannibalizing full-rate renewals.</w:t>
      </w:r>
    </w:p>
    <w:p>
      <w:pPr>
        <w:spacing w:before="40" w:after="60" w:line="276" w:lineRule="auto"/>
        <w:jc w:val="both"/>
      </w:pPr>
      <w:r>
        <w:rPr>
          <w:rFonts w:ascii="Times New Roman" w:hAnsi="Times New Roman"/>
          <w:b/>
          <w:color w:val="141E2D"/>
          <w:sz w:val="22"/>
        </w:rPr>
        <w:t xml:space="preserve">Retail Banking and Credit Card Services: </w:t>
      </w:r>
      <w:r>
        <w:rPr>
          <w:rFonts w:ascii="Times New Roman" w:hAnsi="Times New Roman"/>
          <w:color w:val="1E232D"/>
          <w:sz w:val="22"/>
        </w:rPr>
        <w:t>Predicting account dormancy and card inactivation, selectively allocating fee waivers, bonus rewards points, or dedicated relationship management check-ins to high-LTV cardholders.</w:t>
      </w:r>
    </w:p>
    <w:p>
      <w:pPr>
        <w:spacing w:before="40" w:after="60" w:line="276" w:lineRule="auto"/>
        <w:jc w:val="both"/>
      </w:pPr>
      <w:r>
        <w:rPr>
          <w:rFonts w:ascii="Times New Roman" w:hAnsi="Times New Roman"/>
          <w:b/>
          <w:color w:val="141E2D"/>
          <w:sz w:val="22"/>
        </w:rPr>
        <w:t xml:space="preserve">Insurance Policy Underwriting and Auto-Renewal: </w:t>
      </w:r>
      <w:r>
        <w:rPr>
          <w:rFonts w:ascii="Times New Roman" w:hAnsi="Times New Roman"/>
          <w:color w:val="1E232D"/>
          <w:sz w:val="22"/>
        </w:rPr>
        <w:t>Forecasting policy lapse hazards at annual renewal cycles, prescribing tailored premium adjustments or deductible restructuring to retain safe, low-loss-ratio policyholders.</w:t>
      </w:r>
    </w:p>
    <w:p>
      <w:pPr>
        <w:spacing w:before="160" w:after="80" w:line="276" w:lineRule="auto"/>
        <w:jc w:val="left"/>
      </w:pPr>
      <w:r>
        <w:rPr>
          <w:rFonts w:ascii="Times New Roman" w:hAnsi="Times New Roman"/>
          <w:b/>
          <w:color w:val="142D55"/>
          <w:sz w:val="26"/>
        </w:rPr>
        <w:t>1.5 TECHNICAL AND EMPIRICAL ACHIEVEMENTS</w:t>
      </w:r>
    </w:p>
    <w:p>
      <w:pPr>
        <w:spacing w:before="0" w:after="80" w:line="276" w:lineRule="auto"/>
        <w:jc w:val="both"/>
      </w:pPr>
      <w:r>
        <w:rPr>
          <w:rFonts w:ascii="Times New Roman" w:hAnsi="Times New Roman"/>
          <w:color w:val="1E232D"/>
          <w:sz w:val="22"/>
        </w:rPr>
        <w:t>The RetainIQ project has successfully accomplished all design goals and delivered verifiable, production-grade outputs:</w:t>
      </w:r>
    </w:p>
    <w:p>
      <w:pPr>
        <w:spacing w:before="40" w:after="60" w:line="276" w:lineRule="auto"/>
        <w:jc w:val="both"/>
      </w:pPr>
      <w:r>
        <w:rPr>
          <w:rFonts w:ascii="Times New Roman" w:hAnsi="Times New Roman"/>
          <w:b/>
          <w:color w:val="141E2D"/>
          <w:sz w:val="22"/>
        </w:rPr>
        <w:t xml:space="preserve">100% Verified Zero-Leakage Pipeline: </w:t>
      </w:r>
      <w:r>
        <w:rPr>
          <w:rFonts w:ascii="Times New Roman" w:hAnsi="Times New Roman"/>
          <w:color w:val="1E232D"/>
          <w:sz w:val="22"/>
        </w:rPr>
        <w:t>Constructed a clean, reproducible preprocessing pipeline across 7,043 customer accounts, resolving 11 whitespace-missing values in TotalCharges through median imputation, and establishing strict temporal isolation with an automated leakage test suite.</w:t>
      </w:r>
    </w:p>
    <w:p>
      <w:pPr>
        <w:spacing w:before="40" w:after="60" w:line="276" w:lineRule="auto"/>
        <w:jc w:val="both"/>
      </w:pPr>
      <w:r>
        <w:rPr>
          <w:rFonts w:ascii="Times New Roman" w:hAnsi="Times New Roman"/>
          <w:b/>
          <w:color w:val="141E2D"/>
          <w:sz w:val="22"/>
        </w:rPr>
        <w:t xml:space="preserve">State-of-the-Art Survival Discrimination: </w:t>
      </w:r>
      <w:r>
        <w:rPr>
          <w:rFonts w:ascii="Times New Roman" w:hAnsi="Times New Roman"/>
          <w:color w:val="1E232D"/>
          <w:sz w:val="22"/>
        </w:rPr>
        <w:t>Achieved a test Concordance Index (C-Index) of 0.8697 with the Weibull AFT model and 0.8694 with Cox Proportional Hazards, representing a +4.14 percentage-point improvement over the standard naive binary logistic classifier baseline (0.8283).</w:t>
      </w:r>
    </w:p>
    <w:p>
      <w:pPr>
        <w:spacing w:before="40" w:after="60" w:line="276" w:lineRule="auto"/>
        <w:jc w:val="both"/>
      </w:pPr>
      <w:r>
        <w:rPr>
          <w:rFonts w:ascii="Times New Roman" w:hAnsi="Times New Roman"/>
          <w:b/>
          <w:color w:val="141E2D"/>
          <w:sz w:val="22"/>
        </w:rPr>
        <w:t xml:space="preserve">Superior Probabilistic Calibration: </w:t>
      </w:r>
      <w:r>
        <w:rPr>
          <w:rFonts w:ascii="Times New Roman" w:hAnsi="Times New Roman"/>
          <w:color w:val="1E232D"/>
          <w:sz w:val="22"/>
        </w:rPr>
        <w:t>Delivered an exceptional Integrated Brier Score (IBS) of 0.0818 at the 90-day operational horizon, outperforming the baseline (0.1336) by 38.8%, proving reliable, unskewed risk quantification.</w:t>
      </w:r>
    </w:p>
    <w:p>
      <w:pPr>
        <w:spacing w:before="40" w:after="60" w:line="276" w:lineRule="auto"/>
        <w:jc w:val="both"/>
      </w:pPr>
      <w:r>
        <w:rPr>
          <w:rFonts w:ascii="Times New Roman" w:hAnsi="Times New Roman"/>
          <w:b/>
          <w:color w:val="141E2D"/>
          <w:sz w:val="22"/>
        </w:rPr>
        <w:t xml:space="preserve">High-Performance Uplift Ranking: </w:t>
      </w:r>
      <w:r>
        <w:rPr>
          <w:rFonts w:ascii="Times New Roman" w:hAnsi="Times New Roman"/>
          <w:color w:val="1E232D"/>
          <w:sz w:val="22"/>
        </w:rPr>
        <w:t>Trained and evaluated causal meta-learners, with the T-Learner achieving a mean Qini score of 0.6920 across four treatments, outperforming the S-Learner (0.4046) and enabling high-precision identification of responsive subscribers.</w:t>
      </w:r>
    </w:p>
    <w:p>
      <w:pPr>
        <w:spacing w:before="40" w:after="60" w:line="276" w:lineRule="auto"/>
        <w:jc w:val="both"/>
      </w:pPr>
      <w:r>
        <w:rPr>
          <w:rFonts w:ascii="Times New Roman" w:hAnsi="Times New Roman"/>
          <w:b/>
          <w:color w:val="141E2D"/>
          <w:sz w:val="22"/>
        </w:rPr>
        <w:t xml:space="preserve">Demonstrated Portfolio ERV Optimization: </w:t>
      </w:r>
      <w:r>
        <w:rPr>
          <w:rFonts w:ascii="Times New Roman" w:hAnsi="Times New Roman"/>
          <w:color w:val="1E232D"/>
          <w:sz w:val="22"/>
        </w:rPr>
        <w:t>Engineered an optimization engine that allocated 1,248 accounts from a 1,873-candidate pool, maximizing Net Expected Retention Value at $48,920 under a $15,000 budget cap, delivering a verified 329.2% campaign ROI.</w:t>
      </w:r>
    </w:p>
    <w:p>
      <w:pPr>
        <w:spacing w:before="40" w:after="60" w:line="276" w:lineRule="auto"/>
        <w:jc w:val="both"/>
      </w:pPr>
      <w:r>
        <w:rPr>
          <w:rFonts w:ascii="Times New Roman" w:hAnsi="Times New Roman"/>
          <w:b/>
          <w:color w:val="141E2D"/>
          <w:sz w:val="22"/>
        </w:rPr>
        <w:t xml:space="preserve">Comprehensive Automated Test Coverage: </w:t>
      </w:r>
      <w:r>
        <w:rPr>
          <w:rFonts w:ascii="Times New Roman" w:hAnsi="Times New Roman"/>
          <w:color w:val="1E232D"/>
          <w:sz w:val="22"/>
        </w:rPr>
        <w:t>Executed an automated test suite comprising 27 comprehensive pytest test cases covering data preprocessing, leakage guards, survival monotonicity, uplift evaluation, API contracts, and cryptographic tampering, achieving a 100% PASS rate.</w:t>
      </w:r>
    </w:p>
    <w:p>
      <w:pPr>
        <w:spacing w:before="40" w:after="60" w:line="276" w:lineRule="auto"/>
        <w:jc w:val="both"/>
      </w:pPr>
      <w:r>
        <w:rPr>
          <w:rFonts w:ascii="Times New Roman" w:hAnsi="Times New Roman"/>
          <w:b/>
          <w:color w:val="141E2D"/>
          <w:sz w:val="22"/>
        </w:rPr>
        <w:t xml:space="preserve">Sub-15ms Enterprise API Microservice: </w:t>
      </w:r>
      <w:r>
        <w:rPr>
          <w:rFonts w:ascii="Times New Roman" w:hAnsi="Times New Roman"/>
          <w:color w:val="1E232D"/>
          <w:sz w:val="22"/>
        </w:rPr>
        <w:t>Engineered a production FastAPI microservice featuring Pydantic request/response schema validation, CORS security, health probes, and real-time survival scoring with an average response latency of under 15 milliseconds.</w:t>
      </w:r>
    </w:p>
    <w:p>
      <w:pPr>
        <w:spacing w:before="40" w:after="60" w:line="276" w:lineRule="auto"/>
        <w:jc w:val="both"/>
      </w:pPr>
      <w:r>
        <w:rPr>
          <w:rFonts w:ascii="Times New Roman" w:hAnsi="Times New Roman"/>
          <w:b/>
          <w:color w:val="141E2D"/>
          <w:sz w:val="22"/>
        </w:rPr>
        <w:t xml:space="preserve">Full-Featured 11-Page Interactive Dashboard: </w:t>
      </w:r>
      <w:r>
        <w:rPr>
          <w:rFonts w:ascii="Times New Roman" w:hAnsi="Times New Roman"/>
          <w:color w:val="1E232D"/>
          <w:sz w:val="22"/>
        </w:rPr>
        <w:t>Developed an intuitive, dark-mode Streamlit decision console providing executive KPI overviews, customer 360 profiling, what-if treatment simulation, campaign budgeting, model explainability, and cryptographic audit ledger inspection.</w:t>
      </w:r>
    </w:p>
    <w:p>
      <w:r>
        <w:br w:type="page"/>
      </w:r>
    </w:p>
    <w:p>
      <w:pPr>
        <w:spacing w:before="300" w:after="240" w:line="276" w:lineRule="auto"/>
        <w:jc w:val="left"/>
      </w:pPr>
      <w:r>
        <w:rPr>
          <w:rFonts w:ascii="Times New Roman" w:hAnsi="Times New Roman"/>
          <w:b/>
          <w:color w:val="0F1E41"/>
          <w:sz w:val="30"/>
        </w:rPr>
        <w:t>CHAPTER 2: SYSTEM ANALYSIS</w:t>
      </w:r>
    </w:p>
    <w:p>
      <w:pPr>
        <w:spacing w:before="0" w:after="80" w:line="276" w:lineRule="auto"/>
        <w:jc w:val="both"/>
      </w:pPr>
      <w:r>
        <w:rPr>
          <w:rFonts w:ascii="Times New Roman" w:hAnsi="Times New Roman"/>
          <w:color w:val="1E232D"/>
          <w:sz w:val="22"/>
        </w:rPr>
        <w:t>System analysis constitutes the critical diagnostic phase of software and data science engineering. In this phase, the structural deficiencies of prevailing industry practices are methodically examined, the theoretical and commercial foundations of the proposed architecture are established, and comprehensive functional and operational requirements are defined. This chapter presents an exhaustive comparative critique of existing commercial churn prediction systems, introduces the architectural paradigm of RetainIQ, details hardware and software dependencies, and provides an in-depth survey of the algorithmic foundations enabling survival-based retention modeling.</w:t>
      </w:r>
    </w:p>
    <w:p>
      <w:pPr>
        <w:spacing w:before="160" w:after="80" w:line="276" w:lineRule="auto"/>
        <w:jc w:val="left"/>
      </w:pPr>
      <w:r>
        <w:rPr>
          <w:rFonts w:ascii="Times New Roman" w:hAnsi="Times New Roman"/>
          <w:b/>
          <w:color w:val="142D55"/>
          <w:sz w:val="26"/>
        </w:rPr>
        <w:t>2.1 EXISTING SYSTEM AND THEORETICAL LIMITATIONS</w:t>
      </w:r>
    </w:p>
    <w:p>
      <w:pPr>
        <w:spacing w:before="0" w:after="80" w:line="276" w:lineRule="auto"/>
        <w:jc w:val="both"/>
      </w:pPr>
      <w:r>
        <w:rPr>
          <w:rFonts w:ascii="Times New Roman" w:hAnsi="Times New Roman"/>
          <w:color w:val="1E232D"/>
          <w:sz w:val="22"/>
        </w:rPr>
        <w:t>In contemporary enterprise environments, customer churn prediction pipelines are almost universally framed as standard supervised binary classification tasks. In such architectures, customer account telemetry (e.g., tenure, monthly charges, contract type, and service usage) is collected at an arbitrary snapshot date t_0. A target label Y in {0, 1} is assigned based on whether the account formally terminates its contract within a fixed forward-looking observation window Delta t (typically 30, 60, or 90 days):</w:t>
      </w:r>
    </w:p>
    <w:p>
      <w:pPr>
        <w:spacing w:before="80" w:after="120" w:line="276" w:lineRule="auto"/>
        <w:jc w:val="center"/>
      </w:pPr>
      <w:r>
        <w:rPr>
          <w:rFonts w:ascii="Times New Roman" w:hAnsi="Times New Roman"/>
          <w:i/>
          <w:color w:val="28323C"/>
          <w:sz w:val="22"/>
        </w:rPr>
        <w:t xml:space="preserve">   Mathematical Definition: </w:t>
      </w:r>
      <w:r>
        <w:rPr>
          <w:rFonts w:ascii="Times New Roman" w:hAnsi="Times New Roman"/>
          <w:color w:val="1E232D"/>
          <w:sz w:val="22"/>
        </w:rPr>
        <w:t>Y_i = 1 if T_i &lt;= t_0 + Delta t, else 0</w:t>
      </w:r>
    </w:p>
    <w:p>
      <w:pPr>
        <w:spacing w:before="0" w:after="80" w:line="276" w:lineRule="auto"/>
        <w:jc w:val="both"/>
      </w:pPr>
      <w:r>
        <w:rPr>
          <w:rFonts w:ascii="Times New Roman" w:hAnsi="Times New Roman"/>
          <w:color w:val="1E232D"/>
          <w:sz w:val="22"/>
        </w:rPr>
        <w:t>Supervised classifiers—such as Logistic Regression, Random Forests, XGBoost, or multilayer perceptrons—are trained to estimate the conditional probability P(Y_i = 1 | X_i). While widely adopted due to off-the-shelf software accessibility, this formulation suffers from four catastrophic theoretical and practical failures:</w:t>
      </w:r>
    </w:p>
    <w:p>
      <w:pPr>
        <w:spacing w:before="60" w:after="80" w:line="276" w:lineRule="auto"/>
        <w:jc w:val="both"/>
      </w:pPr>
      <w:r>
        <w:rPr>
          <w:rFonts w:ascii="Times New Roman" w:hAnsi="Times New Roman"/>
          <w:b/>
          <w:color w:val="141E2D"/>
          <w:sz w:val="22"/>
        </w:rPr>
        <w:t xml:space="preserve">1. Survival Blindness and Temporal Information Loss: </w:t>
      </w:r>
      <w:r>
        <w:rPr>
          <w:rFonts w:ascii="Times New Roman" w:hAnsi="Times New Roman"/>
          <w:color w:val="1E232D"/>
          <w:sz w:val="22"/>
        </w:rPr>
        <w:t>Binary classification compresses continuous time into a single boolean state. It cannot differentiate between a customer who cancels immediately on Day 1 versus a customer who cancels on Day 89. This temporal blindness prevents retention teams from sequencing proactive touchpoints, understanding early-tenure onboarding vulnerability, or projecting multi-quarter revenue depletion.</w:t>
      </w:r>
    </w:p>
    <w:p>
      <w:pPr>
        <w:spacing w:before="60" w:after="80" w:line="276" w:lineRule="auto"/>
        <w:jc w:val="both"/>
      </w:pPr>
      <w:r>
        <w:rPr>
          <w:rFonts w:ascii="Times New Roman" w:hAnsi="Times New Roman"/>
          <w:b/>
          <w:color w:val="141E2D"/>
          <w:sz w:val="22"/>
        </w:rPr>
        <w:t xml:space="preserve">2. Right-Censoring Distortion and Downward Survival Bias: </w:t>
      </w:r>
      <w:r>
        <w:rPr>
          <w:rFonts w:ascii="Times New Roman" w:hAnsi="Times New Roman"/>
          <w:color w:val="1E232D"/>
          <w:sz w:val="22"/>
        </w:rPr>
        <w:t>In real-world recurring business models, the vast majority of subscribers remain active at any given analysis snapshot. In the IBM Telco cohort, 73.46% of accounts (5,174 out of 7,043) are right-censored—meaning their true lifetime T exceeds the observed duration. Binary classification algorithms possess no mathematical capacity to incorporate censored likelihood contributions. Labeling all active subscribers as '0' introduces severe downward bias into churn risk scores, treating ongoing loyalty as a static negative class rather than an unresolved continuous duration.</w:t>
      </w:r>
    </w:p>
    <w:p>
      <w:pPr>
        <w:spacing w:before="60" w:after="80" w:line="276" w:lineRule="auto"/>
        <w:jc w:val="both"/>
      </w:pPr>
      <w:r>
        <w:rPr>
          <w:rFonts w:ascii="Times New Roman" w:hAnsi="Times New Roman"/>
          <w:b/>
          <w:color w:val="141E2D"/>
          <w:sz w:val="22"/>
        </w:rPr>
        <w:t xml:space="preserve">3. The Association vs. Causation Fallacy in Treatment Targeting: </w:t>
      </w:r>
      <w:r>
        <w:rPr>
          <w:rFonts w:ascii="Times New Roman" w:hAnsi="Times New Roman"/>
          <w:color w:val="1E232D"/>
          <w:sz w:val="22"/>
        </w:rPr>
        <w:t>Commercial retention teams routinely use the predicted churn probability P(Y=1|X) as an actionable rank-ordering for marketing campaigns. This represents a catastrophic conceptual error. A high churn probability indicates that an account is at high risk, but it does NOT indicate that the account will respond favorably to an intervention. Modern uplift literature categorizes customers into four behavioral segments: (a) 'Persuadables' (retain only if treated), (b) 'Sure Things' (retain regardless of treatment), (c) 'Lost Causes' (churn regardless of treatment), and (d) 'Sleeping Dogs' or 'Do Not Disturb' (churn specifically because an intrusive intervention was triggered). Targeting the highest-risk deciles inevitably wastes retention capital on 'Lost Causes' while missing high-leverage 'Persuadables' who possess moderate baseline risk but high treatment sensitivity.</w:t>
      </w:r>
    </w:p>
    <w:p>
      <w:pPr>
        <w:spacing w:before="60" w:after="80" w:line="276" w:lineRule="auto"/>
        <w:jc w:val="both"/>
      </w:pPr>
      <w:r>
        <w:rPr>
          <w:rFonts w:ascii="Times New Roman" w:hAnsi="Times New Roman"/>
          <w:b/>
          <w:color w:val="141E2D"/>
          <w:sz w:val="22"/>
        </w:rPr>
        <w:t xml:space="preserve">4. Total Absence of Intervention Unit Economics: </w:t>
      </w:r>
      <w:r>
        <w:rPr>
          <w:rFonts w:ascii="Times New Roman" w:hAnsi="Times New Roman"/>
          <w:color w:val="1E232D"/>
          <w:sz w:val="22"/>
        </w:rPr>
        <w:t>Binary classifiers output unitless probabilities unmoored from financial reality. They provide no mechanism to incorporate the unit cost of retention treatments (e.g., $5 check-in call vs. $35 hardware incentive) against the residual Lifetime Value (LTV) of the customer. Consequently, marketing teams frequently deploy expensive interventions on low-value subscribers whose future margins can never recoup the cost of the retention campaign, resulting in negative net enterprise ROI.</w:t>
      </w:r>
    </w:p>
    <w:p>
      <w:pPr>
        <w:spacing w:before="160" w:after="80" w:line="276" w:lineRule="auto"/>
        <w:jc w:val="left"/>
      </w:pPr>
      <w:r>
        <w:rPr>
          <w:rFonts w:ascii="Times New Roman" w:hAnsi="Times New Roman"/>
          <w:b/>
          <w:color w:val="142D55"/>
          <w:sz w:val="26"/>
        </w:rPr>
        <w:t>2.2 PROPOSED SYSTEM: RETAINIQ ARCHITECTURE</w:t>
      </w:r>
    </w:p>
    <w:p>
      <w:pPr>
        <w:spacing w:before="0" w:after="80" w:line="276" w:lineRule="auto"/>
        <w:jc w:val="both"/>
      </w:pPr>
      <w:r>
        <w:rPr>
          <w:rFonts w:ascii="Times New Roman" w:hAnsi="Times New Roman"/>
          <w:color w:val="1E232D"/>
          <w:sz w:val="22"/>
        </w:rPr>
        <w:t>RetainIQ fundamentally reframes the customer retention problem by integrating continuous-time statistical survival analysis with causal uplift modeling and prescriptive economic optimization. Instead of asking 'Will this customer churn?', RetainIQ asks: 'What is the full survival trajectory S_i(t) of this customer, which specific intervention will causally maximize their incremental survival gain Delta S_ik(t), and what is the net Expected Retention Value (ERV) after accounting for treatment costs?'</w:t>
      </w:r>
    </w:p>
    <w:p>
      <w:pPr>
        <w:spacing w:before="0" w:after="80" w:line="276" w:lineRule="auto"/>
        <w:jc w:val="both"/>
      </w:pPr>
      <w:r>
        <w:rPr>
          <w:rFonts w:ascii="Times New Roman" w:hAnsi="Times New Roman"/>
          <w:color w:val="1E232D"/>
          <w:sz w:val="22"/>
        </w:rPr>
        <w:t>RetainIQ introduces four major architectural innovations over existing commercial pipelines:</w:t>
      </w:r>
    </w:p>
    <w:p>
      <w:pPr>
        <w:spacing w:before="40" w:after="60" w:line="276" w:lineRule="auto"/>
        <w:jc w:val="both"/>
      </w:pPr>
      <w:r>
        <w:rPr>
          <w:rFonts w:ascii="Times New Roman" w:hAnsi="Times New Roman"/>
          <w:b/>
          <w:color w:val="141E2D"/>
          <w:sz w:val="22"/>
        </w:rPr>
        <w:t xml:space="preserve">Continuous Survival Dynamics: </w:t>
      </w:r>
      <w:r>
        <w:rPr>
          <w:rFonts w:ascii="Times New Roman" w:hAnsi="Times New Roman"/>
          <w:color w:val="1E232D"/>
          <w:sz w:val="22"/>
        </w:rPr>
        <w:t>The system estimates individual survival curves S_i(t) = P(T_i &gt; t) and hazard rates h_i(t) across arbitrary time horizons. By correctly incorporating right-censored observations via partial and full likelihood estimation, RetainIQ eliminates downward survival bias and provides granular visibility into 30, 60, 90, 180, and 365-day retention probabilities from a single model.</w:t>
      </w:r>
    </w:p>
    <w:p>
      <w:pPr>
        <w:spacing w:before="40" w:after="60" w:line="276" w:lineRule="auto"/>
        <w:jc w:val="both"/>
      </w:pPr>
      <w:r>
        <w:rPr>
          <w:rFonts w:ascii="Times New Roman" w:hAnsi="Times New Roman"/>
          <w:b/>
          <w:color w:val="141E2D"/>
          <w:sz w:val="22"/>
        </w:rPr>
        <w:t xml:space="preserve">Heterogeneous Causal Treatment Uplift (CATE): </w:t>
      </w:r>
      <w:r>
        <w:rPr>
          <w:rFonts w:ascii="Times New Roman" w:hAnsi="Times New Roman"/>
          <w:color w:val="1E232D"/>
          <w:sz w:val="22"/>
        </w:rPr>
        <w:t>RetainIQ implements causal Meta-Learner frameworks (T-Learner and S-Learner) to isolate the counterfactual effect of specific retention treatments. By modeling the Conditional Average Treatment Effect tau_ik(x) = E[S_k(t) - S_0(t) | X=x], the system targets only those subscribers who demonstrate true incremental responsiveness ('Persuadables').</w:t>
      </w:r>
    </w:p>
    <w:p>
      <w:pPr>
        <w:spacing w:before="40" w:after="60" w:line="276" w:lineRule="auto"/>
        <w:jc w:val="both"/>
      </w:pPr>
      <w:r>
        <w:rPr>
          <w:rFonts w:ascii="Times New Roman" w:hAnsi="Times New Roman"/>
          <w:b/>
          <w:color w:val="141E2D"/>
          <w:sz w:val="22"/>
        </w:rPr>
        <w:t xml:space="preserve">Prescriptive Knapsack ERV Optimization: </w:t>
      </w:r>
      <w:r>
        <w:rPr>
          <w:rFonts w:ascii="Times New Roman" w:hAnsi="Times New Roman"/>
          <w:color w:val="1E232D"/>
          <w:sz w:val="22"/>
        </w:rPr>
        <w:t>The system couples treatment uplift with customer Lifetime Value (LTV) and intervention unit costs C_k to compute net Expected Retention Value: ERV_ik = Delta S_ik(t) * LTV_i - C_k. A knapsack allocation engine solves the budget-constrained portfolio problem, enforcing an automated zero-cost fallback ('No Intervention') whenever ERV is non-positive.</w:t>
      </w:r>
    </w:p>
    <w:p>
      <w:pPr>
        <w:spacing w:before="40" w:after="60" w:line="276" w:lineRule="auto"/>
        <w:jc w:val="both"/>
      </w:pPr>
      <w:r>
        <w:rPr>
          <w:rFonts w:ascii="Times New Roman" w:hAnsi="Times New Roman"/>
          <w:b/>
          <w:color w:val="141E2D"/>
          <w:sz w:val="22"/>
        </w:rPr>
        <w:t xml:space="preserve">Enterprise Governance and Operational Trust: </w:t>
      </w:r>
      <w:r>
        <w:rPr>
          <w:rFonts w:ascii="Times New Roman" w:hAnsi="Times New Roman"/>
          <w:color w:val="1E232D"/>
          <w:sz w:val="22"/>
        </w:rPr>
        <w:t>RetainIQ incorporates an immutable SHA-256 cryptographic audit trail recording all model recommendations and manual human overrides. Continuous monitoring evaluates Population Stability Index (PSI) drift, while automated adversarial suites stress-test pipeline resilience under simulated missingness and feature noise.</w:t>
      </w:r>
    </w:p>
    <w:p>
      <w:pPr>
        <w:spacing w:before="160" w:after="80" w:line="276" w:lineRule="auto"/>
        <w:jc w:val="left"/>
      </w:pPr>
      <w:r>
        <w:rPr>
          <w:rFonts w:ascii="Times New Roman" w:hAnsi="Times New Roman"/>
          <w:b/>
          <w:color w:val="142D55"/>
          <w:sz w:val="26"/>
        </w:rPr>
        <w:t>2.3 REQUIREMENTS ANALYSIS</w:t>
      </w:r>
    </w:p>
    <w:p>
      <w:pPr>
        <w:spacing w:before="0" w:after="80" w:line="276" w:lineRule="auto"/>
        <w:jc w:val="both"/>
      </w:pPr>
      <w:r>
        <w:rPr>
          <w:rFonts w:ascii="Times New Roman" w:hAnsi="Times New Roman"/>
          <w:color w:val="1E232D"/>
          <w:sz w:val="22"/>
        </w:rPr>
        <w:t>The RetainIQ platform was designed under rigorous software engineering and machine learning specifications. The requirements are categorized into six distinct operational dimensions:</w:t>
      </w:r>
    </w:p>
    <w:p>
      <w:pPr>
        <w:spacing w:before="120" w:after="60" w:line="276" w:lineRule="auto"/>
        <w:jc w:val="left"/>
      </w:pPr>
      <w:r>
        <w:rPr>
          <w:rFonts w:ascii="Times New Roman" w:hAnsi="Times New Roman"/>
          <w:b/>
          <w:color w:val="1E375F"/>
          <w:sz w:val="23"/>
        </w:rPr>
        <w:t>A. Functional Requirements</w:t>
      </w:r>
    </w:p>
    <w:p>
      <w:pPr>
        <w:spacing w:before="40" w:after="40" w:line="276" w:lineRule="auto"/>
        <w:jc w:val="both"/>
      </w:pPr>
      <w:r>
        <w:rPr>
          <w:rFonts w:ascii="Times New Roman" w:hAnsi="Times New Roman"/>
          <w:b/>
          <w:color w:val="141E2D"/>
          <w:sz w:val="22"/>
        </w:rPr>
        <w:t xml:space="preserve">FR-1 Data Ingestion &amp; Sanitization: </w:t>
      </w:r>
      <w:r>
        <w:rPr>
          <w:rFonts w:ascii="Times New Roman" w:hAnsi="Times New Roman"/>
          <w:color w:val="1E232D"/>
          <w:sz w:val="22"/>
        </w:rPr>
        <w:t>The system shall ingest raw tabular customer records, identify and coerce whitespace-blank values to floating-point representations, and apply median imputation without inducing data leakage.</w:t>
      </w:r>
    </w:p>
    <w:p>
      <w:pPr>
        <w:spacing w:before="40" w:after="40" w:line="276" w:lineRule="auto"/>
        <w:jc w:val="both"/>
      </w:pPr>
      <w:r>
        <w:rPr>
          <w:rFonts w:ascii="Times New Roman" w:hAnsi="Times New Roman"/>
          <w:b/>
          <w:color w:val="141E2D"/>
          <w:sz w:val="22"/>
        </w:rPr>
        <w:t xml:space="preserve">FR-2 Multi-Horizon Survival Scoring: </w:t>
      </w:r>
      <w:r>
        <w:rPr>
          <w:rFonts w:ascii="Times New Roman" w:hAnsi="Times New Roman"/>
          <w:color w:val="1E232D"/>
          <w:sz w:val="22"/>
        </w:rPr>
        <w:t>The system shall compute predicted survival probabilities S(t) and cumulative hazard H(t) for each customer across standard operational horizons: 30, 60, 90, 180, and 365 days.</w:t>
      </w:r>
    </w:p>
    <w:p>
      <w:pPr>
        <w:spacing w:before="40" w:after="40" w:line="276" w:lineRule="auto"/>
        <w:jc w:val="both"/>
      </w:pPr>
      <w:r>
        <w:rPr>
          <w:rFonts w:ascii="Times New Roman" w:hAnsi="Times New Roman"/>
          <w:b/>
          <w:color w:val="141E2D"/>
          <w:sz w:val="22"/>
        </w:rPr>
        <w:t xml:space="preserve">FR-3 Multi-Treatment CATE Estimation: </w:t>
      </w:r>
      <w:r>
        <w:rPr>
          <w:rFonts w:ascii="Times New Roman" w:hAnsi="Times New Roman"/>
          <w:color w:val="1E232D"/>
          <w:sz w:val="22"/>
        </w:rPr>
        <w:t>The system shall estimate heterogeneous treatment effects for four distinct interventions: Basic Check-in, Proactive Tech Support, 15% Bill Discount, and Long-Term Contract Incentive.</w:t>
      </w:r>
    </w:p>
    <w:p>
      <w:pPr>
        <w:spacing w:before="40" w:after="40" w:line="276" w:lineRule="auto"/>
        <w:jc w:val="both"/>
      </w:pPr>
      <w:r>
        <w:rPr>
          <w:rFonts w:ascii="Times New Roman" w:hAnsi="Times New Roman"/>
          <w:b/>
          <w:color w:val="141E2D"/>
          <w:sz w:val="22"/>
        </w:rPr>
        <w:t xml:space="preserve">FR-4 Prescriptive Treatment Ranking: </w:t>
      </w:r>
      <w:r>
        <w:rPr>
          <w:rFonts w:ascii="Times New Roman" w:hAnsi="Times New Roman"/>
          <w:color w:val="1E232D"/>
          <w:sz w:val="22"/>
        </w:rPr>
        <w:t>The system shall compute ERV for all eligible treatments, rank candidates in descending order, and select the optimal treatment while enforcing the fallback rule: assign 'No Intervention' if ERV &lt;= 0.</w:t>
      </w:r>
    </w:p>
    <w:p>
      <w:pPr>
        <w:spacing w:before="40" w:after="40" w:line="276" w:lineRule="auto"/>
        <w:jc w:val="both"/>
      </w:pPr>
      <w:r>
        <w:rPr>
          <w:rFonts w:ascii="Times New Roman" w:hAnsi="Times New Roman"/>
          <w:b/>
          <w:color w:val="141E2D"/>
          <w:sz w:val="22"/>
        </w:rPr>
        <w:t xml:space="preserve">FR-5 Cryptographic Audit Trail: </w:t>
      </w:r>
      <w:r>
        <w:rPr>
          <w:rFonts w:ascii="Times New Roman" w:hAnsi="Times New Roman"/>
          <w:color w:val="1E232D"/>
          <w:sz w:val="22"/>
        </w:rPr>
        <w:t>The system shall append every scoring, prescription, and analyst override event to an immutable SHA-256 cryptographic hash chain, enabling zero-knowledge tamper verification.</w:t>
      </w:r>
    </w:p>
    <w:p>
      <w:pPr>
        <w:spacing w:before="120" w:after="60" w:line="276" w:lineRule="auto"/>
        <w:jc w:val="left"/>
      </w:pPr>
      <w:r>
        <w:rPr>
          <w:rFonts w:ascii="Times New Roman" w:hAnsi="Times New Roman"/>
          <w:b/>
          <w:color w:val="1E375F"/>
          <w:sz w:val="23"/>
        </w:rPr>
        <w:t>B. Non-Functional Requirements</w:t>
      </w:r>
    </w:p>
    <w:p>
      <w:pPr>
        <w:spacing w:before="40" w:after="40" w:line="276" w:lineRule="auto"/>
        <w:jc w:val="both"/>
      </w:pPr>
      <w:r>
        <w:rPr>
          <w:rFonts w:ascii="Times New Roman" w:hAnsi="Times New Roman"/>
          <w:b/>
          <w:color w:val="141E2D"/>
          <w:sz w:val="22"/>
        </w:rPr>
        <w:t xml:space="preserve">NFR-1 Latency &amp; Throughput: </w:t>
      </w:r>
      <w:r>
        <w:rPr>
          <w:rFonts w:ascii="Times New Roman" w:hAnsi="Times New Roman"/>
          <w:color w:val="1E232D"/>
          <w:sz w:val="22"/>
        </w:rPr>
        <w:t>Single-customer inference endpoints shall return complete survival curves, treatment rankings, and ERV computations with an average response latency of less than 50 milliseconds (demonstrating &lt;15ms in production).</w:t>
      </w:r>
    </w:p>
    <w:p>
      <w:pPr>
        <w:spacing w:before="40" w:after="40" w:line="276" w:lineRule="auto"/>
        <w:jc w:val="both"/>
      </w:pPr>
      <w:r>
        <w:rPr>
          <w:rFonts w:ascii="Times New Roman" w:hAnsi="Times New Roman"/>
          <w:b/>
          <w:color w:val="141E2D"/>
          <w:sz w:val="22"/>
        </w:rPr>
        <w:t xml:space="preserve">NFR-2 Memory &amp; Compute Footprint: </w:t>
      </w:r>
      <w:r>
        <w:rPr>
          <w:rFonts w:ascii="Times New Roman" w:hAnsi="Times New Roman"/>
          <w:color w:val="1E232D"/>
          <w:sz w:val="22"/>
        </w:rPr>
        <w:t>The entire production serving environment, including loaded models and feature pipelines, shall consume less than 2.0 GB of system RAM, enabling deployment on cost-effective commodity compute instances.</w:t>
      </w:r>
    </w:p>
    <w:p>
      <w:pPr>
        <w:spacing w:before="40" w:after="40" w:line="276" w:lineRule="auto"/>
        <w:jc w:val="both"/>
      </w:pPr>
      <w:r>
        <w:rPr>
          <w:rFonts w:ascii="Times New Roman" w:hAnsi="Times New Roman"/>
          <w:b/>
          <w:color w:val="141E2D"/>
          <w:sz w:val="22"/>
        </w:rPr>
        <w:t xml:space="preserve">NFR-3 Deterministic Reproducibility: </w:t>
      </w:r>
      <w:r>
        <w:rPr>
          <w:rFonts w:ascii="Times New Roman" w:hAnsi="Times New Roman"/>
          <w:color w:val="1E232D"/>
          <w:sz w:val="22"/>
        </w:rPr>
        <w:t>All pipeline preprocessing splits, model training seeds, and simulation runs shall be strictly deterministic, yielding identical results across repeated executions.</w:t>
      </w:r>
    </w:p>
    <w:p>
      <w:pPr>
        <w:spacing w:before="40" w:after="40" w:line="276" w:lineRule="auto"/>
        <w:jc w:val="both"/>
      </w:pPr>
      <w:r>
        <w:rPr>
          <w:rFonts w:ascii="Times New Roman" w:hAnsi="Times New Roman"/>
          <w:b/>
          <w:color w:val="141E2D"/>
          <w:sz w:val="22"/>
        </w:rPr>
        <w:t xml:space="preserve">NFR-4 Scalability: </w:t>
      </w:r>
      <w:r>
        <w:rPr>
          <w:rFonts w:ascii="Times New Roman" w:hAnsi="Times New Roman"/>
          <w:color w:val="1E232D"/>
          <w:sz w:val="22"/>
        </w:rPr>
        <w:t>The batch scoring engine shall process a portfolio of 10,000 customer accounts within 5 seconds on standard hardware.</w:t>
      </w:r>
    </w:p>
    <w:p>
      <w:pPr>
        <w:spacing w:before="120" w:after="60" w:line="276" w:lineRule="auto"/>
        <w:jc w:val="left"/>
      </w:pPr>
      <w:r>
        <w:rPr>
          <w:rFonts w:ascii="Times New Roman" w:hAnsi="Times New Roman"/>
          <w:b/>
          <w:color w:val="1E375F"/>
          <w:sz w:val="23"/>
        </w:rPr>
        <w:t>C. Machine Learning Requirements</w:t>
      </w:r>
    </w:p>
    <w:p>
      <w:pPr>
        <w:spacing w:before="40" w:after="40" w:line="276" w:lineRule="auto"/>
        <w:jc w:val="both"/>
      </w:pPr>
      <w:r>
        <w:rPr>
          <w:rFonts w:ascii="Times New Roman" w:hAnsi="Times New Roman"/>
          <w:b/>
          <w:color w:val="141E2D"/>
          <w:sz w:val="22"/>
        </w:rPr>
        <w:t xml:space="preserve">MLR-1 Discriminatory Accuracy: </w:t>
      </w:r>
      <w:r>
        <w:rPr>
          <w:rFonts w:ascii="Times New Roman" w:hAnsi="Times New Roman"/>
          <w:color w:val="1E232D"/>
          <w:sz w:val="22"/>
        </w:rPr>
        <w:t>The primary survival models (Weibull AFT, Cox PH, and RSF) shall achieve a test Harrell's Concordance Index (C-Index) exceeding 0.85, significantly outperforming naive classification baselines.</w:t>
      </w:r>
    </w:p>
    <w:p>
      <w:pPr>
        <w:spacing w:before="40" w:after="40" w:line="276" w:lineRule="auto"/>
        <w:jc w:val="both"/>
      </w:pPr>
      <w:r>
        <w:rPr>
          <w:rFonts w:ascii="Times New Roman" w:hAnsi="Times New Roman"/>
          <w:b/>
          <w:color w:val="141E2D"/>
          <w:sz w:val="22"/>
        </w:rPr>
        <w:t xml:space="preserve">MLR-2 Probabilistic Calibration: </w:t>
      </w:r>
      <w:r>
        <w:rPr>
          <w:rFonts w:ascii="Times New Roman" w:hAnsi="Times New Roman"/>
          <w:color w:val="1E232D"/>
          <w:sz w:val="22"/>
        </w:rPr>
        <w:t>The survival models shall achieve an Integrated Brier Score (IBS) below 0.10 at the 90-day operational decision horizon, ensuring reliable risk estimates across deciles.</w:t>
      </w:r>
    </w:p>
    <w:p>
      <w:pPr>
        <w:spacing w:before="40" w:after="40" w:line="276" w:lineRule="auto"/>
        <w:jc w:val="both"/>
      </w:pPr>
      <w:r>
        <w:rPr>
          <w:rFonts w:ascii="Times New Roman" w:hAnsi="Times New Roman"/>
          <w:b/>
          <w:color w:val="141E2D"/>
          <w:sz w:val="22"/>
        </w:rPr>
        <w:t xml:space="preserve">MLR-3 Monotonicity Guarantee: </w:t>
      </w:r>
      <w:r>
        <w:rPr>
          <w:rFonts w:ascii="Times New Roman" w:hAnsi="Times New Roman"/>
          <w:color w:val="1E232D"/>
          <w:sz w:val="22"/>
        </w:rPr>
        <w:t>Predicted survival probability curves must satisfy the strict mathematical axiom of non-increasing monotonicity: S(t_2) &lt;= S(t_1) for all t_2 &gt; t_1.</w:t>
      </w:r>
    </w:p>
    <w:p>
      <w:pPr>
        <w:spacing w:before="40" w:after="40" w:line="276" w:lineRule="auto"/>
        <w:jc w:val="both"/>
      </w:pPr>
      <w:r>
        <w:rPr>
          <w:rFonts w:ascii="Times New Roman" w:hAnsi="Times New Roman"/>
          <w:b/>
          <w:color w:val="141E2D"/>
          <w:sz w:val="22"/>
        </w:rPr>
        <w:t xml:space="preserve">MLR-4 Uplift Superiority: </w:t>
      </w:r>
      <w:r>
        <w:rPr>
          <w:rFonts w:ascii="Times New Roman" w:hAnsi="Times New Roman"/>
          <w:color w:val="1E232D"/>
          <w:sz w:val="22"/>
        </w:rPr>
        <w:t>The causal Meta-Learner architecture shall achieve a positive mean Qini score (&gt;0.40), confirming statistically significant counterfactual ranking power over random targeting.</w:t>
      </w:r>
    </w:p>
    <w:p>
      <w:pPr>
        <w:spacing w:before="120" w:after="60" w:line="276" w:lineRule="auto"/>
        <w:jc w:val="left"/>
      </w:pPr>
      <w:r>
        <w:rPr>
          <w:rFonts w:ascii="Times New Roman" w:hAnsi="Times New Roman"/>
          <w:b/>
          <w:color w:val="1E375F"/>
          <w:sz w:val="23"/>
        </w:rPr>
        <w:t>D. Dashboard Requirements</w:t>
      </w:r>
    </w:p>
    <w:p>
      <w:pPr>
        <w:spacing w:before="40" w:after="40" w:line="276" w:lineRule="auto"/>
        <w:jc w:val="both"/>
      </w:pPr>
      <w:r>
        <w:rPr>
          <w:rFonts w:ascii="Times New Roman" w:hAnsi="Times New Roman"/>
          <w:b/>
          <w:color w:val="141E2D"/>
          <w:sz w:val="22"/>
        </w:rPr>
        <w:t xml:space="preserve">DR-1 Multi-Page Modular Console: </w:t>
      </w:r>
      <w:r>
        <w:rPr>
          <w:rFonts w:ascii="Times New Roman" w:hAnsi="Times New Roman"/>
          <w:color w:val="1E232D"/>
          <w:sz w:val="22"/>
        </w:rPr>
        <w:t>The UI shall provide 11 dedicated operational pages covering Executive Overview, Data Quality, Cohort Survival, Model Lab, Customer 360, Treatment Studio, Campaign Planner, Explainability, Robustness, Governance, and Documentation.</w:t>
      </w:r>
    </w:p>
    <w:p>
      <w:pPr>
        <w:spacing w:before="40" w:after="40" w:line="276" w:lineRule="auto"/>
        <w:jc w:val="both"/>
      </w:pPr>
      <w:r>
        <w:rPr>
          <w:rFonts w:ascii="Times New Roman" w:hAnsi="Times New Roman"/>
          <w:b/>
          <w:color w:val="141E2D"/>
          <w:sz w:val="22"/>
        </w:rPr>
        <w:t xml:space="preserve">DR-2 Interactive Counterfactual Simulator: </w:t>
      </w:r>
      <w:r>
        <w:rPr>
          <w:rFonts w:ascii="Times New Roman" w:hAnsi="Times New Roman"/>
          <w:color w:val="1E232D"/>
          <w:sz w:val="22"/>
        </w:rPr>
        <w:t>Users shall be able to dynamically adjust individual customer attributes and treatment parameters via sliders and inspect immediate recalculations of S(t), hazard percentiles, and ERV in real time.</w:t>
      </w:r>
    </w:p>
    <w:p>
      <w:pPr>
        <w:spacing w:before="40" w:after="40" w:line="276" w:lineRule="auto"/>
        <w:jc w:val="both"/>
      </w:pPr>
      <w:r>
        <w:rPr>
          <w:rFonts w:ascii="Times New Roman" w:hAnsi="Times New Roman"/>
          <w:b/>
          <w:color w:val="141E2D"/>
          <w:sz w:val="22"/>
        </w:rPr>
        <w:t xml:space="preserve">DR-3 Campaign Budget Optimizer: </w:t>
      </w:r>
      <w:r>
        <w:rPr>
          <w:rFonts w:ascii="Times New Roman" w:hAnsi="Times New Roman"/>
          <w:color w:val="1E232D"/>
          <w:sz w:val="22"/>
        </w:rPr>
        <w:t>The campaign planner shall allow marketing directors to specify aggregate budget caps and instantly visualize optimal treatment allocation, customer coverage, and net campaign ROI curves.</w:t>
      </w:r>
    </w:p>
    <w:p>
      <w:pPr>
        <w:spacing w:before="120" w:after="60" w:line="276" w:lineRule="auto"/>
        <w:jc w:val="left"/>
      </w:pPr>
      <w:r>
        <w:rPr>
          <w:rFonts w:ascii="Times New Roman" w:hAnsi="Times New Roman"/>
          <w:b/>
          <w:color w:val="1E375F"/>
          <w:sz w:val="23"/>
        </w:rPr>
        <w:t>E. API Requirements</w:t>
      </w:r>
    </w:p>
    <w:p>
      <w:pPr>
        <w:spacing w:before="40" w:after="40" w:line="276" w:lineRule="auto"/>
        <w:jc w:val="both"/>
      </w:pPr>
      <w:r>
        <w:rPr>
          <w:rFonts w:ascii="Times New Roman" w:hAnsi="Times New Roman"/>
          <w:b/>
          <w:color w:val="141E2D"/>
          <w:sz w:val="22"/>
        </w:rPr>
        <w:t xml:space="preserve">AR-1 RESTful Interface: </w:t>
      </w:r>
      <w:r>
        <w:rPr>
          <w:rFonts w:ascii="Times New Roman" w:hAnsi="Times New Roman"/>
          <w:color w:val="1E232D"/>
          <w:sz w:val="22"/>
        </w:rPr>
        <w:t>The backend shall expose standards-compliant REST endpoints supporting GET and POST operations with JSON request/response payloads conforming to OpenAPI 3.0 specifications.</w:t>
      </w:r>
    </w:p>
    <w:p>
      <w:pPr>
        <w:spacing w:before="40" w:after="40" w:line="276" w:lineRule="auto"/>
        <w:jc w:val="both"/>
      </w:pPr>
      <w:r>
        <w:rPr>
          <w:rFonts w:ascii="Times New Roman" w:hAnsi="Times New Roman"/>
          <w:b/>
          <w:color w:val="141E2D"/>
          <w:sz w:val="22"/>
        </w:rPr>
        <w:t xml:space="preserve">AR-2 Pydantic Schema Validation: </w:t>
      </w:r>
      <w:r>
        <w:rPr>
          <w:rFonts w:ascii="Times New Roman" w:hAnsi="Times New Roman"/>
          <w:color w:val="1E232D"/>
          <w:sz w:val="22"/>
        </w:rPr>
        <w:t>All incoming API requests shall be validated through strict Pydantic schemas, returning HTTP 422 Unprocessable Entity errors with descriptive field messages upon boundary violations.</w:t>
      </w:r>
    </w:p>
    <w:p>
      <w:pPr>
        <w:spacing w:before="40" w:after="40" w:line="276" w:lineRule="auto"/>
        <w:jc w:val="both"/>
      </w:pPr>
      <w:r>
        <w:rPr>
          <w:rFonts w:ascii="Times New Roman" w:hAnsi="Times New Roman"/>
          <w:b/>
          <w:color w:val="141E2D"/>
          <w:sz w:val="22"/>
        </w:rPr>
        <w:t xml:space="preserve">AR-3 Enterprise Health Probes: </w:t>
      </w:r>
      <w:r>
        <w:rPr>
          <w:rFonts w:ascii="Times New Roman" w:hAnsi="Times New Roman"/>
          <w:color w:val="1E232D"/>
          <w:sz w:val="22"/>
        </w:rPr>
        <w:t>The API shall expose dedicated /health, /model-info, and /metrics endpoints to support Kubernetes liveness/readiness probes and Prometheus telemetry scraping.</w:t>
      </w:r>
    </w:p>
    <w:p>
      <w:pPr>
        <w:spacing w:before="120" w:after="60" w:line="276" w:lineRule="auto"/>
        <w:jc w:val="left"/>
      </w:pPr>
      <w:r>
        <w:rPr>
          <w:rFonts w:ascii="Times New Roman" w:hAnsi="Times New Roman"/>
          <w:b/>
          <w:color w:val="1E375F"/>
          <w:sz w:val="23"/>
        </w:rPr>
        <w:t>F. Monitoring and Governance Requirements</w:t>
      </w:r>
    </w:p>
    <w:p>
      <w:pPr>
        <w:spacing w:before="40" w:after="40" w:line="276" w:lineRule="auto"/>
        <w:jc w:val="both"/>
      </w:pPr>
      <w:r>
        <w:rPr>
          <w:rFonts w:ascii="Times New Roman" w:hAnsi="Times New Roman"/>
          <w:b/>
          <w:color w:val="141E2D"/>
          <w:sz w:val="22"/>
        </w:rPr>
        <w:t xml:space="preserve">GR-1 Drift Detection: </w:t>
      </w:r>
      <w:r>
        <w:rPr>
          <w:rFonts w:ascii="Times New Roman" w:hAnsi="Times New Roman"/>
          <w:color w:val="1E232D"/>
          <w:sz w:val="22"/>
        </w:rPr>
        <w:t>The system shall continuously compute Population Stability Index (PSI) metrics across all input features, flagging warnings when PSI exceeds 0.10 and triggering alerts when PSI exceeds 0.25.</w:t>
      </w:r>
    </w:p>
    <w:p>
      <w:pPr>
        <w:spacing w:before="40" w:after="40" w:line="276" w:lineRule="auto"/>
        <w:jc w:val="both"/>
      </w:pPr>
      <w:r>
        <w:rPr>
          <w:rFonts w:ascii="Times New Roman" w:hAnsi="Times New Roman"/>
          <w:b/>
          <w:color w:val="141E2D"/>
          <w:sz w:val="22"/>
        </w:rPr>
        <w:t xml:space="preserve">GR-2 Stress Testing &amp; Robustness: </w:t>
      </w:r>
      <w:r>
        <w:rPr>
          <w:rFonts w:ascii="Times New Roman" w:hAnsi="Times New Roman"/>
          <w:color w:val="1E232D"/>
          <w:sz w:val="22"/>
        </w:rPr>
        <w:t>The pipeline shall include automated adversarial test suites measuring performance degradation under simulated missingness (up to 30%) and additive Gaussian feature noise, establishing resilience boundaries.</w:t>
      </w:r>
    </w:p>
    <w:p>
      <w:pPr>
        <w:spacing w:before="40" w:after="40" w:line="276" w:lineRule="auto"/>
        <w:jc w:val="both"/>
      </w:pPr>
      <w:r>
        <w:rPr>
          <w:rFonts w:ascii="Times New Roman" w:hAnsi="Times New Roman"/>
          <w:b/>
          <w:color w:val="141E2D"/>
          <w:sz w:val="22"/>
        </w:rPr>
        <w:t xml:space="preserve">GR-3 Tamper Verification: </w:t>
      </w:r>
      <w:r>
        <w:rPr>
          <w:rFonts w:ascii="Times New Roman" w:hAnsi="Times New Roman"/>
          <w:color w:val="1E232D"/>
          <w:sz w:val="22"/>
        </w:rPr>
        <w:t>The audit system shall provide an automated endpoint verifying the cryptographic continuity of the SHA-256 chain, immediately detecting any unauthorized manual database alterations.</w:t>
      </w:r>
    </w:p>
    <w:p>
      <w:pPr>
        <w:spacing w:before="160" w:after="80" w:line="276" w:lineRule="auto"/>
        <w:jc w:val="left"/>
      </w:pPr>
      <w:r>
        <w:rPr>
          <w:rFonts w:ascii="Times New Roman" w:hAnsi="Times New Roman"/>
          <w:b/>
          <w:color w:val="142D55"/>
          <w:sz w:val="26"/>
        </w:rPr>
        <w:t>2.4 HARDWARE REQUIREMENTS</w:t>
      </w:r>
    </w:p>
    <w:p>
      <w:pPr>
        <w:spacing w:before="0" w:after="80" w:line="276" w:lineRule="auto"/>
        <w:jc w:val="both"/>
      </w:pPr>
      <w:r>
        <w:rPr>
          <w:rFonts w:ascii="Times New Roman" w:hAnsi="Times New Roman"/>
          <w:color w:val="1E232D"/>
          <w:sz w:val="22"/>
        </w:rPr>
        <w:t>RetainIQ is architected for maximum computational efficiency, allowing complete end-to-end training, statistical cross-validation, and real-time inference on commodity enterprise hardware without requiring expensive GPU accelerators. Table 2.1 delineates the minimum and recommended hardware specifications: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2592"/>
            <w:shd w:fill="152035"/>
            <w:tcMar>
              <w:top w:w="60" w:type="dxa"/>
              <w:bottom w:w="60" w:type="dxa"/>
              <w:left w:w="80" w:type="dxa"/>
              <w:right w:w="80" w:type="dxa"/>
            </w:tcMar>
          </w:tcPr>
          <w:p>
            <w:pPr>
              <w:jc w:val="left"/>
            </w:pPr>
            <w:r>
              <w:rPr>
                <w:rFonts w:ascii="Times New Roman" w:hAnsi="Times New Roman"/>
                <w:b/>
                <w:color w:val="FFFFFF"/>
                <w:sz w:val="19"/>
              </w:rPr>
              <w:t>COMPONENT</w:t>
            </w:r>
          </w:p>
        </w:tc>
        <w:tc>
          <w:tcPr>
            <w:tcW w:type="dxa" w:w="3312"/>
            <w:shd w:fill="152035"/>
            <w:tcMar>
              <w:top w:w="60" w:type="dxa"/>
              <w:bottom w:w="60" w:type="dxa"/>
              <w:left w:w="80" w:type="dxa"/>
              <w:right w:w="80" w:type="dxa"/>
            </w:tcMar>
          </w:tcPr>
          <w:p>
            <w:pPr>
              <w:jc w:val="left"/>
            </w:pPr>
            <w:r>
              <w:rPr>
                <w:rFonts w:ascii="Times New Roman" w:hAnsi="Times New Roman"/>
                <w:b/>
                <w:color w:val="FFFFFF"/>
                <w:sz w:val="19"/>
              </w:rPr>
              <w:t>MINIMUM SPECIFICATION</w:t>
            </w:r>
          </w:p>
        </w:tc>
        <w:tc>
          <w:tcPr>
            <w:tcW w:type="dxa" w:w="3456"/>
            <w:shd w:fill="152035"/>
            <w:tcMar>
              <w:top w:w="60" w:type="dxa"/>
              <w:bottom w:w="60" w:type="dxa"/>
              <w:left w:w="80" w:type="dxa"/>
              <w:right w:w="80" w:type="dxa"/>
            </w:tcMar>
          </w:tcPr>
          <w:p>
            <w:pPr>
              <w:jc w:val="left"/>
            </w:pPr>
            <w:r>
              <w:rPr>
                <w:rFonts w:ascii="Times New Roman" w:hAnsi="Times New Roman"/>
                <w:b/>
                <w:color w:val="FFFFFF"/>
                <w:sz w:val="19"/>
              </w:rPr>
              <w:t>PRODUCTION RECOMMENDED</w:t>
            </w:r>
          </w:p>
        </w:tc>
      </w:tr>
      <w:tr>
        <w:tc>
          <w:tcPr>
            <w:tcW w:type="dxa" w:w="2592"/>
            <w:tcMar>
              <w:top w:w="45" w:type="dxa"/>
              <w:bottom w:w="45" w:type="dxa"/>
              <w:left w:w="80" w:type="dxa"/>
              <w:right w:w="80" w:type="dxa"/>
            </w:tcMar>
          </w:tcPr>
          <w:p>
            <w:pPr>
              <w:jc w:val="left"/>
            </w:pPr>
            <w:r>
              <w:rPr>
                <w:rFonts w:ascii="Times New Roman" w:hAnsi="Times New Roman"/>
                <w:b/>
                <w:sz w:val="18"/>
              </w:rPr>
              <w:t>Central Processing Unit (CPU)</w:t>
            </w:r>
          </w:p>
        </w:tc>
        <w:tc>
          <w:tcPr>
            <w:tcW w:type="dxa" w:w="3312"/>
            <w:tcMar>
              <w:top w:w="45" w:type="dxa"/>
              <w:bottom w:w="45" w:type="dxa"/>
              <w:left w:w="80" w:type="dxa"/>
              <w:right w:w="80" w:type="dxa"/>
            </w:tcMar>
          </w:tcPr>
          <w:p>
            <w:pPr>
              <w:jc w:val="left"/>
            </w:pPr>
            <w:r>
              <w:rPr>
                <w:rFonts w:ascii="Times New Roman" w:hAnsi="Times New Roman"/>
                <w:sz w:val="18"/>
              </w:rPr>
              <w:t>Quad-core x86_64 Processor (2.0 GHz)</w:t>
            </w:r>
          </w:p>
        </w:tc>
        <w:tc>
          <w:tcPr>
            <w:tcW w:type="dxa" w:w="3456"/>
            <w:tcMar>
              <w:top w:w="45" w:type="dxa"/>
              <w:bottom w:w="45" w:type="dxa"/>
              <w:left w:w="80" w:type="dxa"/>
              <w:right w:w="80" w:type="dxa"/>
            </w:tcMar>
          </w:tcPr>
          <w:p>
            <w:pPr>
              <w:jc w:val="left"/>
            </w:pPr>
            <w:r>
              <w:rPr>
                <w:rFonts w:ascii="Times New Roman" w:hAnsi="Times New Roman"/>
                <w:sz w:val="18"/>
              </w:rPr>
              <w:t>8-core Intel Core i7 / AMD Ryzen 7 / Xeon</w:t>
            </w:r>
          </w:p>
        </w:tc>
      </w:tr>
      <w:tr>
        <w:tc>
          <w:tcPr>
            <w:tcW w:type="dxa" w:w="2592"/>
            <w:tcMar>
              <w:top w:w="45" w:type="dxa"/>
              <w:bottom w:w="45" w:type="dxa"/>
              <w:left w:w="80" w:type="dxa"/>
              <w:right w:w="80" w:type="dxa"/>
            </w:tcMar>
          </w:tcPr>
          <w:p>
            <w:pPr>
              <w:jc w:val="left"/>
            </w:pPr>
            <w:r>
              <w:rPr>
                <w:rFonts w:ascii="Times New Roman" w:hAnsi="Times New Roman"/>
                <w:b/>
                <w:sz w:val="18"/>
              </w:rPr>
              <w:t>System Memory (RAM)</w:t>
            </w:r>
          </w:p>
        </w:tc>
        <w:tc>
          <w:tcPr>
            <w:tcW w:type="dxa" w:w="3312"/>
            <w:tcMar>
              <w:top w:w="45" w:type="dxa"/>
              <w:bottom w:w="45" w:type="dxa"/>
              <w:left w:w="80" w:type="dxa"/>
              <w:right w:w="80" w:type="dxa"/>
            </w:tcMar>
          </w:tcPr>
          <w:p>
            <w:pPr>
              <w:jc w:val="left"/>
            </w:pPr>
            <w:r>
              <w:rPr>
                <w:rFonts w:ascii="Times New Roman" w:hAnsi="Times New Roman"/>
                <w:sz w:val="18"/>
              </w:rPr>
              <w:t>8.0 GB DDR4 SDRAM</w:t>
            </w:r>
          </w:p>
        </w:tc>
        <w:tc>
          <w:tcPr>
            <w:tcW w:type="dxa" w:w="3456"/>
            <w:tcMar>
              <w:top w:w="45" w:type="dxa"/>
              <w:bottom w:w="45" w:type="dxa"/>
              <w:left w:w="80" w:type="dxa"/>
              <w:right w:w="80" w:type="dxa"/>
            </w:tcMar>
          </w:tcPr>
          <w:p>
            <w:pPr>
              <w:jc w:val="left"/>
            </w:pPr>
            <w:r>
              <w:rPr>
                <w:rFonts w:ascii="Times New Roman" w:hAnsi="Times New Roman"/>
                <w:sz w:val="18"/>
              </w:rPr>
              <w:t>16.0 GB DDR4 / DDR5 Dual-Channel</w:t>
            </w:r>
          </w:p>
        </w:tc>
      </w:tr>
      <w:tr>
        <w:tc>
          <w:tcPr>
            <w:tcW w:type="dxa" w:w="2592"/>
            <w:tcMar>
              <w:top w:w="45" w:type="dxa"/>
              <w:bottom w:w="45" w:type="dxa"/>
              <w:left w:w="80" w:type="dxa"/>
              <w:right w:w="80" w:type="dxa"/>
            </w:tcMar>
          </w:tcPr>
          <w:p>
            <w:pPr>
              <w:jc w:val="left"/>
            </w:pPr>
            <w:r>
              <w:rPr>
                <w:rFonts w:ascii="Times New Roman" w:hAnsi="Times New Roman"/>
                <w:b/>
                <w:sz w:val="18"/>
              </w:rPr>
              <w:t>Disk Storage</w:t>
            </w:r>
          </w:p>
        </w:tc>
        <w:tc>
          <w:tcPr>
            <w:tcW w:type="dxa" w:w="3312"/>
            <w:tcMar>
              <w:top w:w="45" w:type="dxa"/>
              <w:bottom w:w="45" w:type="dxa"/>
              <w:left w:w="80" w:type="dxa"/>
              <w:right w:w="80" w:type="dxa"/>
            </w:tcMar>
          </w:tcPr>
          <w:p>
            <w:pPr>
              <w:jc w:val="left"/>
            </w:pPr>
            <w:r>
              <w:rPr>
                <w:rFonts w:ascii="Times New Roman" w:hAnsi="Times New Roman"/>
                <w:sz w:val="18"/>
              </w:rPr>
              <w:t>20 GB Available SSD Storage</w:t>
            </w:r>
          </w:p>
        </w:tc>
        <w:tc>
          <w:tcPr>
            <w:tcW w:type="dxa" w:w="3456"/>
            <w:tcMar>
              <w:top w:w="45" w:type="dxa"/>
              <w:bottom w:w="45" w:type="dxa"/>
              <w:left w:w="80" w:type="dxa"/>
              <w:right w:w="80" w:type="dxa"/>
            </w:tcMar>
          </w:tcPr>
          <w:p>
            <w:pPr>
              <w:jc w:val="left"/>
            </w:pPr>
            <w:r>
              <w:rPr>
                <w:rFonts w:ascii="Times New Roman" w:hAnsi="Times New Roman"/>
                <w:sz w:val="18"/>
              </w:rPr>
              <w:t>50 GB NVMe PCIe SSD (Fast I/O)</w:t>
            </w:r>
          </w:p>
        </w:tc>
      </w:tr>
      <w:tr>
        <w:tc>
          <w:tcPr>
            <w:tcW w:type="dxa" w:w="2592"/>
            <w:tcMar>
              <w:top w:w="45" w:type="dxa"/>
              <w:bottom w:w="45" w:type="dxa"/>
              <w:left w:w="80" w:type="dxa"/>
              <w:right w:w="80" w:type="dxa"/>
            </w:tcMar>
          </w:tcPr>
          <w:p>
            <w:pPr>
              <w:jc w:val="left"/>
            </w:pPr>
            <w:r>
              <w:rPr>
                <w:rFonts w:ascii="Times New Roman" w:hAnsi="Times New Roman"/>
                <w:b/>
                <w:sz w:val="18"/>
              </w:rPr>
              <w:t>Network Interface</w:t>
            </w:r>
          </w:p>
        </w:tc>
        <w:tc>
          <w:tcPr>
            <w:tcW w:type="dxa" w:w="3312"/>
            <w:tcMar>
              <w:top w:w="45" w:type="dxa"/>
              <w:bottom w:w="45" w:type="dxa"/>
              <w:left w:w="80" w:type="dxa"/>
              <w:right w:w="80" w:type="dxa"/>
            </w:tcMar>
          </w:tcPr>
          <w:p>
            <w:pPr>
              <w:jc w:val="left"/>
            </w:pPr>
            <w:r>
              <w:rPr>
                <w:rFonts w:ascii="Times New Roman" w:hAnsi="Times New Roman"/>
                <w:sz w:val="18"/>
              </w:rPr>
              <w:t>100 Mbps Ethernet / Wi-Fi</w:t>
            </w:r>
          </w:p>
        </w:tc>
        <w:tc>
          <w:tcPr>
            <w:tcW w:type="dxa" w:w="3456"/>
            <w:tcMar>
              <w:top w:w="45" w:type="dxa"/>
              <w:bottom w:w="45" w:type="dxa"/>
              <w:left w:w="80" w:type="dxa"/>
              <w:right w:w="80" w:type="dxa"/>
            </w:tcMar>
          </w:tcPr>
          <w:p>
            <w:pPr>
              <w:jc w:val="left"/>
            </w:pPr>
            <w:r>
              <w:rPr>
                <w:rFonts w:ascii="Times New Roman" w:hAnsi="Times New Roman"/>
                <w:sz w:val="18"/>
              </w:rPr>
              <w:t>1.0 Gbps Enterprise Low-Latency NIC</w:t>
            </w:r>
          </w:p>
        </w:tc>
      </w:tr>
      <w:tr>
        <w:tc>
          <w:tcPr>
            <w:tcW w:type="dxa" w:w="2592"/>
            <w:tcMar>
              <w:top w:w="45" w:type="dxa"/>
              <w:bottom w:w="45" w:type="dxa"/>
              <w:left w:w="80" w:type="dxa"/>
              <w:right w:w="80" w:type="dxa"/>
            </w:tcMar>
          </w:tcPr>
          <w:p>
            <w:pPr>
              <w:jc w:val="left"/>
            </w:pPr>
            <w:r>
              <w:rPr>
                <w:rFonts w:ascii="Times New Roman" w:hAnsi="Times New Roman"/>
                <w:b/>
                <w:sz w:val="18"/>
              </w:rPr>
              <w:t>Graphics Processing (GPU)</w:t>
            </w:r>
          </w:p>
        </w:tc>
        <w:tc>
          <w:tcPr>
            <w:tcW w:type="dxa" w:w="3312"/>
            <w:tcMar>
              <w:top w:w="45" w:type="dxa"/>
              <w:bottom w:w="45" w:type="dxa"/>
              <w:left w:w="80" w:type="dxa"/>
              <w:right w:w="80" w:type="dxa"/>
            </w:tcMar>
          </w:tcPr>
          <w:p>
            <w:pPr>
              <w:jc w:val="left"/>
            </w:pPr>
            <w:r>
              <w:rPr>
                <w:rFonts w:ascii="Times New Roman" w:hAnsi="Times New Roman"/>
                <w:sz w:val="18"/>
              </w:rPr>
              <w:t>Not Required (CPU Optimized)</w:t>
            </w:r>
          </w:p>
        </w:tc>
        <w:tc>
          <w:tcPr>
            <w:tcW w:type="dxa" w:w="3456"/>
            <w:tcMar>
              <w:top w:w="45" w:type="dxa"/>
              <w:bottom w:w="45" w:type="dxa"/>
              <w:left w:w="80" w:type="dxa"/>
              <w:right w:w="80" w:type="dxa"/>
            </w:tcMar>
          </w:tcPr>
          <w:p>
            <w:pPr>
              <w:jc w:val="left"/>
            </w:pPr>
            <w:r>
              <w:rPr>
                <w:rFonts w:ascii="Times New Roman" w:hAnsi="Times New Roman"/>
                <w:sz w:val="18"/>
              </w:rPr>
              <w:t>Not Required (Optional for DeepSurv)</w:t>
            </w:r>
          </w:p>
        </w:tc>
      </w:tr>
    </w:tbl>
    <w:p>
      <w:pPr>
        <w:spacing w:before="80" w:after="200" w:line="276" w:lineRule="auto"/>
        <w:jc w:val="center"/>
      </w:pPr>
      <w:r>
        <w:rPr>
          <w:rFonts w:ascii="Times New Roman" w:hAnsi="Times New Roman"/>
          <w:b/>
          <w:i/>
          <w:sz w:val="18"/>
        </w:rPr>
        <w:t>Table 2.1: RetainIQ Hardware Environment Specifications</w:t>
      </w:r>
    </w:p>
    <w:p>
      <w:pPr>
        <w:spacing w:before="160" w:after="80" w:line="276" w:lineRule="auto"/>
        <w:jc w:val="left"/>
      </w:pPr>
      <w:r>
        <w:rPr>
          <w:rFonts w:ascii="Times New Roman" w:hAnsi="Times New Roman"/>
          <w:b/>
          <w:color w:val="142D55"/>
          <w:sz w:val="26"/>
        </w:rPr>
        <w:t>2.5 SOFTWARE REQUIREMENTS</w:t>
      </w:r>
    </w:p>
    <w:p>
      <w:pPr>
        <w:spacing w:before="0" w:after="80" w:line="276" w:lineRule="auto"/>
        <w:jc w:val="both"/>
      </w:pPr>
      <w:r>
        <w:rPr>
          <w:rFonts w:ascii="Times New Roman" w:hAnsi="Times New Roman"/>
          <w:color w:val="1E232D"/>
          <w:sz w:val="22"/>
        </w:rPr>
        <w:t>The software architecture of RetainIQ leverages modern, industry-standard open-source libraries within the Python data science and microservices ecosystem. Table 2.2 details the complete software dependency stack:</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2592"/>
            <w:shd w:fill="152035"/>
            <w:tcMar>
              <w:top w:w="60" w:type="dxa"/>
              <w:bottom w:w="60" w:type="dxa"/>
              <w:left w:w="80" w:type="dxa"/>
              <w:right w:w="80" w:type="dxa"/>
            </w:tcMar>
          </w:tcPr>
          <w:p>
            <w:pPr>
              <w:jc w:val="left"/>
            </w:pPr>
            <w:r>
              <w:rPr>
                <w:rFonts w:ascii="Times New Roman" w:hAnsi="Times New Roman"/>
                <w:b/>
                <w:color w:val="FFFFFF"/>
                <w:sz w:val="19"/>
              </w:rPr>
              <w:t>LAYER / CATEGORY</w:t>
            </w:r>
          </w:p>
        </w:tc>
        <w:tc>
          <w:tcPr>
            <w:tcW w:type="dxa" w:w="2592"/>
            <w:shd w:fill="152035"/>
            <w:tcMar>
              <w:top w:w="60" w:type="dxa"/>
              <w:bottom w:w="60" w:type="dxa"/>
              <w:left w:w="80" w:type="dxa"/>
              <w:right w:w="80" w:type="dxa"/>
            </w:tcMar>
          </w:tcPr>
          <w:p>
            <w:pPr>
              <w:jc w:val="left"/>
            </w:pPr>
            <w:r>
              <w:rPr>
                <w:rFonts w:ascii="Times New Roman" w:hAnsi="Times New Roman"/>
                <w:b/>
                <w:color w:val="FFFFFF"/>
                <w:sz w:val="19"/>
              </w:rPr>
              <w:t>TECHNOLOGY / PACKAGE</w:t>
            </w:r>
          </w:p>
        </w:tc>
        <w:tc>
          <w:tcPr>
            <w:tcW w:type="dxa" w:w="4176"/>
            <w:shd w:fill="152035"/>
            <w:tcMar>
              <w:top w:w="60" w:type="dxa"/>
              <w:bottom w:w="60" w:type="dxa"/>
              <w:left w:w="80" w:type="dxa"/>
              <w:right w:w="80" w:type="dxa"/>
            </w:tcMar>
          </w:tcPr>
          <w:p>
            <w:pPr>
              <w:jc w:val="left"/>
            </w:pPr>
            <w:r>
              <w:rPr>
                <w:rFonts w:ascii="Times New Roman" w:hAnsi="Times New Roman"/>
                <w:b/>
                <w:color w:val="FFFFFF"/>
                <w:sz w:val="19"/>
              </w:rPr>
              <w:t>VERSION &amp; OPERATIONAL ROLE</w:t>
            </w:r>
          </w:p>
        </w:tc>
      </w:tr>
      <w:tr>
        <w:tc>
          <w:tcPr>
            <w:tcW w:type="dxa" w:w="2592"/>
            <w:tcMar>
              <w:top w:w="45" w:type="dxa"/>
              <w:bottom w:w="45" w:type="dxa"/>
              <w:left w:w="80" w:type="dxa"/>
              <w:right w:w="80" w:type="dxa"/>
            </w:tcMar>
          </w:tcPr>
          <w:p>
            <w:pPr>
              <w:jc w:val="left"/>
            </w:pPr>
            <w:r>
              <w:rPr>
                <w:rFonts w:ascii="Times New Roman" w:hAnsi="Times New Roman"/>
                <w:b/>
                <w:sz w:val="18"/>
              </w:rPr>
              <w:t>Base Runtime Environment</w:t>
            </w:r>
          </w:p>
        </w:tc>
        <w:tc>
          <w:tcPr>
            <w:tcW w:type="dxa" w:w="2592"/>
            <w:tcMar>
              <w:top w:w="45" w:type="dxa"/>
              <w:bottom w:w="45" w:type="dxa"/>
              <w:left w:w="80" w:type="dxa"/>
              <w:right w:w="80" w:type="dxa"/>
            </w:tcMar>
          </w:tcPr>
          <w:p>
            <w:pPr>
              <w:jc w:val="left"/>
            </w:pPr>
            <w:r>
              <w:rPr>
                <w:rFonts w:ascii="Times New Roman" w:hAnsi="Times New Roman"/>
                <w:sz w:val="18"/>
              </w:rPr>
              <w:t>Python Core Interpreter</w:t>
            </w:r>
          </w:p>
        </w:tc>
        <w:tc>
          <w:tcPr>
            <w:tcW w:type="dxa" w:w="4176"/>
            <w:tcMar>
              <w:top w:w="45" w:type="dxa"/>
              <w:bottom w:w="45" w:type="dxa"/>
              <w:left w:w="80" w:type="dxa"/>
              <w:right w:w="80" w:type="dxa"/>
            </w:tcMar>
          </w:tcPr>
          <w:p>
            <w:pPr>
              <w:jc w:val="left"/>
            </w:pPr>
            <w:r>
              <w:rPr>
                <w:rFonts w:ascii="Times New Roman" w:hAnsi="Times New Roman"/>
                <w:sz w:val="18"/>
              </w:rPr>
              <w:t>v3.11 / v3.14 (64-bit CPython Engine)</w:t>
            </w:r>
          </w:p>
        </w:tc>
      </w:tr>
      <w:tr>
        <w:tc>
          <w:tcPr>
            <w:tcW w:type="dxa" w:w="2592"/>
            <w:tcMar>
              <w:top w:w="45" w:type="dxa"/>
              <w:bottom w:w="45" w:type="dxa"/>
              <w:left w:w="80" w:type="dxa"/>
              <w:right w:w="80" w:type="dxa"/>
            </w:tcMar>
          </w:tcPr>
          <w:p>
            <w:pPr>
              <w:jc w:val="left"/>
            </w:pPr>
            <w:r>
              <w:rPr>
                <w:rFonts w:ascii="Times New Roman" w:hAnsi="Times New Roman"/>
                <w:b/>
                <w:sz w:val="18"/>
              </w:rPr>
              <w:t>Operating System Support</w:t>
            </w:r>
          </w:p>
        </w:tc>
        <w:tc>
          <w:tcPr>
            <w:tcW w:type="dxa" w:w="2592"/>
            <w:tcMar>
              <w:top w:w="45" w:type="dxa"/>
              <w:bottom w:w="45" w:type="dxa"/>
              <w:left w:w="80" w:type="dxa"/>
              <w:right w:w="80" w:type="dxa"/>
            </w:tcMar>
          </w:tcPr>
          <w:p>
            <w:pPr>
              <w:jc w:val="left"/>
            </w:pPr>
            <w:r>
              <w:rPr>
                <w:rFonts w:ascii="Times New Roman" w:hAnsi="Times New Roman"/>
                <w:sz w:val="18"/>
              </w:rPr>
              <w:t>Microsoft Windows / Linux</w:t>
            </w:r>
          </w:p>
        </w:tc>
        <w:tc>
          <w:tcPr>
            <w:tcW w:type="dxa" w:w="4176"/>
            <w:tcMar>
              <w:top w:w="45" w:type="dxa"/>
              <w:bottom w:w="45" w:type="dxa"/>
              <w:left w:w="80" w:type="dxa"/>
              <w:right w:w="80" w:type="dxa"/>
            </w:tcMar>
          </w:tcPr>
          <w:p>
            <w:pPr>
              <w:jc w:val="left"/>
            </w:pPr>
            <w:r>
              <w:rPr>
                <w:rFonts w:ascii="Times New Roman" w:hAnsi="Times New Roman"/>
                <w:sz w:val="18"/>
              </w:rPr>
              <w:t>Windows 11 Enterprise / Ubuntu 22.04 LTS</w:t>
            </w:r>
          </w:p>
        </w:tc>
      </w:tr>
      <w:tr>
        <w:tc>
          <w:tcPr>
            <w:tcW w:type="dxa" w:w="2592"/>
            <w:tcMar>
              <w:top w:w="45" w:type="dxa"/>
              <w:bottom w:w="45" w:type="dxa"/>
              <w:left w:w="80" w:type="dxa"/>
              <w:right w:w="80" w:type="dxa"/>
            </w:tcMar>
          </w:tcPr>
          <w:p>
            <w:pPr>
              <w:jc w:val="left"/>
            </w:pPr>
            <w:r>
              <w:rPr>
                <w:rFonts w:ascii="Times New Roman" w:hAnsi="Times New Roman"/>
                <w:b/>
                <w:sz w:val="18"/>
              </w:rPr>
              <w:t>Data Ingestion &amp; Matrix Ops</w:t>
            </w:r>
          </w:p>
        </w:tc>
        <w:tc>
          <w:tcPr>
            <w:tcW w:type="dxa" w:w="2592"/>
            <w:tcMar>
              <w:top w:w="45" w:type="dxa"/>
              <w:bottom w:w="45" w:type="dxa"/>
              <w:left w:w="80" w:type="dxa"/>
              <w:right w:w="80" w:type="dxa"/>
            </w:tcMar>
          </w:tcPr>
          <w:p>
            <w:pPr>
              <w:jc w:val="left"/>
            </w:pPr>
            <w:r>
              <w:rPr>
                <w:rFonts w:ascii="Times New Roman" w:hAnsi="Times New Roman"/>
                <w:sz w:val="18"/>
              </w:rPr>
              <w:t>Pandas &amp; NumPy</w:t>
            </w:r>
          </w:p>
        </w:tc>
        <w:tc>
          <w:tcPr>
            <w:tcW w:type="dxa" w:w="4176"/>
            <w:tcMar>
              <w:top w:w="45" w:type="dxa"/>
              <w:bottom w:w="45" w:type="dxa"/>
              <w:left w:w="80" w:type="dxa"/>
              <w:right w:w="80" w:type="dxa"/>
            </w:tcMar>
          </w:tcPr>
          <w:p>
            <w:pPr>
              <w:jc w:val="left"/>
            </w:pPr>
            <w:r>
              <w:rPr>
                <w:rFonts w:ascii="Times New Roman" w:hAnsi="Times New Roman"/>
                <w:sz w:val="18"/>
              </w:rPr>
              <w:t>Pandas 2.2+, NumPy 1.26+ (High-Performance Arrays)</w:t>
            </w:r>
          </w:p>
        </w:tc>
      </w:tr>
      <w:tr>
        <w:tc>
          <w:tcPr>
            <w:tcW w:type="dxa" w:w="2592"/>
            <w:tcMar>
              <w:top w:w="45" w:type="dxa"/>
              <w:bottom w:w="45" w:type="dxa"/>
              <w:left w:w="80" w:type="dxa"/>
              <w:right w:w="80" w:type="dxa"/>
            </w:tcMar>
          </w:tcPr>
          <w:p>
            <w:pPr>
              <w:jc w:val="left"/>
            </w:pPr>
            <w:r>
              <w:rPr>
                <w:rFonts w:ascii="Times New Roman" w:hAnsi="Times New Roman"/>
                <w:b/>
                <w:sz w:val="18"/>
              </w:rPr>
              <w:t>Survival Analysis Core</w:t>
            </w:r>
          </w:p>
        </w:tc>
        <w:tc>
          <w:tcPr>
            <w:tcW w:type="dxa" w:w="2592"/>
            <w:tcMar>
              <w:top w:w="45" w:type="dxa"/>
              <w:bottom w:w="45" w:type="dxa"/>
              <w:left w:w="80" w:type="dxa"/>
              <w:right w:w="80" w:type="dxa"/>
            </w:tcMar>
          </w:tcPr>
          <w:p>
            <w:pPr>
              <w:jc w:val="left"/>
            </w:pPr>
            <w:r>
              <w:rPr>
                <w:rFonts w:ascii="Times New Roman" w:hAnsi="Times New Roman"/>
                <w:sz w:val="18"/>
              </w:rPr>
              <w:t>Lifelines &amp; Scikit-survival</w:t>
            </w:r>
          </w:p>
        </w:tc>
        <w:tc>
          <w:tcPr>
            <w:tcW w:type="dxa" w:w="4176"/>
            <w:tcMar>
              <w:top w:w="45" w:type="dxa"/>
              <w:bottom w:w="45" w:type="dxa"/>
              <w:left w:w="80" w:type="dxa"/>
              <w:right w:w="80" w:type="dxa"/>
            </w:tcMar>
          </w:tcPr>
          <w:p>
            <w:pPr>
              <w:jc w:val="left"/>
            </w:pPr>
            <w:r>
              <w:rPr>
                <w:rFonts w:ascii="Times New Roman" w:hAnsi="Times New Roman"/>
                <w:sz w:val="18"/>
              </w:rPr>
              <w:t>Lifelines 0.28+ (Cox, KM, Weibull AFT), RSF 0.23+</w:t>
            </w:r>
          </w:p>
        </w:tc>
      </w:tr>
      <w:tr>
        <w:tc>
          <w:tcPr>
            <w:tcW w:type="dxa" w:w="2592"/>
            <w:tcMar>
              <w:top w:w="45" w:type="dxa"/>
              <w:bottom w:w="45" w:type="dxa"/>
              <w:left w:w="80" w:type="dxa"/>
              <w:right w:w="80" w:type="dxa"/>
            </w:tcMar>
          </w:tcPr>
          <w:p>
            <w:pPr>
              <w:jc w:val="left"/>
            </w:pPr>
            <w:r>
              <w:rPr>
                <w:rFonts w:ascii="Times New Roman" w:hAnsi="Times New Roman"/>
                <w:b/>
                <w:sz w:val="18"/>
              </w:rPr>
              <w:t>Machine Learning Utilities</w:t>
            </w:r>
          </w:p>
        </w:tc>
        <w:tc>
          <w:tcPr>
            <w:tcW w:type="dxa" w:w="2592"/>
            <w:tcMar>
              <w:top w:w="45" w:type="dxa"/>
              <w:bottom w:w="45" w:type="dxa"/>
              <w:left w:w="80" w:type="dxa"/>
              <w:right w:w="80" w:type="dxa"/>
            </w:tcMar>
          </w:tcPr>
          <w:p>
            <w:pPr>
              <w:jc w:val="left"/>
            </w:pPr>
            <w:r>
              <w:rPr>
                <w:rFonts w:ascii="Times New Roman" w:hAnsi="Times New Roman"/>
                <w:sz w:val="18"/>
              </w:rPr>
              <w:t>Scikit-Learn &amp; Joblib</w:t>
            </w:r>
          </w:p>
        </w:tc>
        <w:tc>
          <w:tcPr>
            <w:tcW w:type="dxa" w:w="4176"/>
            <w:tcMar>
              <w:top w:w="45" w:type="dxa"/>
              <w:bottom w:w="45" w:type="dxa"/>
              <w:left w:w="80" w:type="dxa"/>
              <w:right w:w="80" w:type="dxa"/>
            </w:tcMar>
          </w:tcPr>
          <w:p>
            <w:pPr>
              <w:jc w:val="left"/>
            </w:pPr>
            <w:r>
              <w:rPr>
                <w:rFonts w:ascii="Times New Roman" w:hAnsi="Times New Roman"/>
                <w:sz w:val="18"/>
              </w:rPr>
              <w:t>Scikit-learn 1.4+ (Transforms, Metrics, Serializers)</w:t>
            </w:r>
          </w:p>
        </w:tc>
      </w:tr>
      <w:tr>
        <w:tc>
          <w:tcPr>
            <w:tcW w:type="dxa" w:w="2592"/>
            <w:tcMar>
              <w:top w:w="45" w:type="dxa"/>
              <w:bottom w:w="45" w:type="dxa"/>
              <w:left w:w="80" w:type="dxa"/>
              <w:right w:w="80" w:type="dxa"/>
            </w:tcMar>
          </w:tcPr>
          <w:p>
            <w:pPr>
              <w:jc w:val="left"/>
            </w:pPr>
            <w:r>
              <w:rPr>
                <w:rFonts w:ascii="Times New Roman" w:hAnsi="Times New Roman"/>
                <w:b/>
                <w:sz w:val="18"/>
              </w:rPr>
              <w:t>Causal Uplift Modeling</w:t>
            </w:r>
          </w:p>
        </w:tc>
        <w:tc>
          <w:tcPr>
            <w:tcW w:type="dxa" w:w="2592"/>
            <w:tcMar>
              <w:top w:w="45" w:type="dxa"/>
              <w:bottom w:w="45" w:type="dxa"/>
              <w:left w:w="80" w:type="dxa"/>
              <w:right w:w="80" w:type="dxa"/>
            </w:tcMar>
          </w:tcPr>
          <w:p>
            <w:pPr>
              <w:jc w:val="left"/>
            </w:pPr>
            <w:r>
              <w:rPr>
                <w:rFonts w:ascii="Times New Roman" w:hAnsi="Times New Roman"/>
                <w:sz w:val="18"/>
              </w:rPr>
              <w:t>CausalML &amp; Custom Learners</w:t>
            </w:r>
          </w:p>
        </w:tc>
        <w:tc>
          <w:tcPr>
            <w:tcW w:type="dxa" w:w="4176"/>
            <w:tcMar>
              <w:top w:w="45" w:type="dxa"/>
              <w:bottom w:w="45" w:type="dxa"/>
              <w:left w:w="80" w:type="dxa"/>
              <w:right w:w="80" w:type="dxa"/>
            </w:tcMar>
          </w:tcPr>
          <w:p>
            <w:pPr>
              <w:jc w:val="left"/>
            </w:pPr>
            <w:r>
              <w:rPr>
                <w:rFonts w:ascii="Times New Roman" w:hAnsi="Times New Roman"/>
                <w:sz w:val="18"/>
              </w:rPr>
              <w:t>T-Learner, S-Learner, and X-Learner Implementations</w:t>
            </w:r>
          </w:p>
        </w:tc>
      </w:tr>
      <w:tr>
        <w:tc>
          <w:tcPr>
            <w:tcW w:type="dxa" w:w="2592"/>
            <w:tcMar>
              <w:top w:w="45" w:type="dxa"/>
              <w:bottom w:w="45" w:type="dxa"/>
              <w:left w:w="80" w:type="dxa"/>
              <w:right w:w="80" w:type="dxa"/>
            </w:tcMar>
          </w:tcPr>
          <w:p>
            <w:pPr>
              <w:jc w:val="left"/>
            </w:pPr>
            <w:r>
              <w:rPr>
                <w:rFonts w:ascii="Times New Roman" w:hAnsi="Times New Roman"/>
                <w:b/>
                <w:sz w:val="18"/>
              </w:rPr>
              <w:t>RESTful Microservice API</w:t>
            </w:r>
          </w:p>
        </w:tc>
        <w:tc>
          <w:tcPr>
            <w:tcW w:type="dxa" w:w="2592"/>
            <w:tcMar>
              <w:top w:w="45" w:type="dxa"/>
              <w:bottom w:w="45" w:type="dxa"/>
              <w:left w:w="80" w:type="dxa"/>
              <w:right w:w="80" w:type="dxa"/>
            </w:tcMar>
          </w:tcPr>
          <w:p>
            <w:pPr>
              <w:jc w:val="left"/>
            </w:pPr>
            <w:r>
              <w:rPr>
                <w:rFonts w:ascii="Times New Roman" w:hAnsi="Times New Roman"/>
                <w:sz w:val="18"/>
              </w:rPr>
              <w:t>FastAPI &amp; Uvicorn</w:t>
            </w:r>
          </w:p>
        </w:tc>
        <w:tc>
          <w:tcPr>
            <w:tcW w:type="dxa" w:w="4176"/>
            <w:tcMar>
              <w:top w:w="45" w:type="dxa"/>
              <w:bottom w:w="45" w:type="dxa"/>
              <w:left w:w="80" w:type="dxa"/>
              <w:right w:w="80" w:type="dxa"/>
            </w:tcMar>
          </w:tcPr>
          <w:p>
            <w:pPr>
              <w:jc w:val="left"/>
            </w:pPr>
            <w:r>
              <w:rPr>
                <w:rFonts w:ascii="Times New Roman" w:hAnsi="Times New Roman"/>
                <w:sz w:val="18"/>
              </w:rPr>
              <w:t>FastAPI 0.110+, Uvicorn 0.28+ (ASGI Async Engine)</w:t>
            </w:r>
          </w:p>
        </w:tc>
      </w:tr>
      <w:tr>
        <w:tc>
          <w:tcPr>
            <w:tcW w:type="dxa" w:w="2592"/>
            <w:tcMar>
              <w:top w:w="45" w:type="dxa"/>
              <w:bottom w:w="45" w:type="dxa"/>
              <w:left w:w="80" w:type="dxa"/>
              <w:right w:w="80" w:type="dxa"/>
            </w:tcMar>
          </w:tcPr>
          <w:p>
            <w:pPr>
              <w:jc w:val="left"/>
            </w:pPr>
            <w:r>
              <w:rPr>
                <w:rFonts w:ascii="Times New Roman" w:hAnsi="Times New Roman"/>
                <w:b/>
                <w:sz w:val="18"/>
              </w:rPr>
              <w:t>Data Validation Schemas</w:t>
            </w:r>
          </w:p>
        </w:tc>
        <w:tc>
          <w:tcPr>
            <w:tcW w:type="dxa" w:w="2592"/>
            <w:tcMar>
              <w:top w:w="45" w:type="dxa"/>
              <w:bottom w:w="45" w:type="dxa"/>
              <w:left w:w="80" w:type="dxa"/>
              <w:right w:w="80" w:type="dxa"/>
            </w:tcMar>
          </w:tcPr>
          <w:p>
            <w:pPr>
              <w:jc w:val="left"/>
            </w:pPr>
            <w:r>
              <w:rPr>
                <w:rFonts w:ascii="Times New Roman" w:hAnsi="Times New Roman"/>
                <w:sz w:val="18"/>
              </w:rPr>
              <w:t>Pydantic v2</w:t>
            </w:r>
          </w:p>
        </w:tc>
        <w:tc>
          <w:tcPr>
            <w:tcW w:type="dxa" w:w="4176"/>
            <w:tcMar>
              <w:top w:w="45" w:type="dxa"/>
              <w:bottom w:w="45" w:type="dxa"/>
              <w:left w:w="80" w:type="dxa"/>
              <w:right w:w="80" w:type="dxa"/>
            </w:tcMar>
          </w:tcPr>
          <w:p>
            <w:pPr>
              <w:jc w:val="left"/>
            </w:pPr>
            <w:r>
              <w:rPr>
                <w:rFonts w:ascii="Times New Roman" w:hAnsi="Times New Roman"/>
                <w:sz w:val="18"/>
              </w:rPr>
              <w:t>Pydantic 2.6+ (Strict Type Checking &amp; OpenAPI Schema)</w:t>
            </w:r>
          </w:p>
        </w:tc>
      </w:tr>
      <w:tr>
        <w:tc>
          <w:tcPr>
            <w:tcW w:type="dxa" w:w="2592"/>
            <w:tcMar>
              <w:top w:w="45" w:type="dxa"/>
              <w:bottom w:w="45" w:type="dxa"/>
              <w:left w:w="80" w:type="dxa"/>
              <w:right w:w="80" w:type="dxa"/>
            </w:tcMar>
          </w:tcPr>
          <w:p>
            <w:pPr>
              <w:jc w:val="left"/>
            </w:pPr>
            <w:r>
              <w:rPr>
                <w:rFonts w:ascii="Times New Roman" w:hAnsi="Times New Roman"/>
                <w:b/>
                <w:sz w:val="18"/>
              </w:rPr>
              <w:t>Operational UI Dashboard</w:t>
            </w:r>
          </w:p>
        </w:tc>
        <w:tc>
          <w:tcPr>
            <w:tcW w:type="dxa" w:w="2592"/>
            <w:tcMar>
              <w:top w:w="45" w:type="dxa"/>
              <w:bottom w:w="45" w:type="dxa"/>
              <w:left w:w="80" w:type="dxa"/>
              <w:right w:w="80" w:type="dxa"/>
            </w:tcMar>
          </w:tcPr>
          <w:p>
            <w:pPr>
              <w:jc w:val="left"/>
            </w:pPr>
            <w:r>
              <w:rPr>
                <w:rFonts w:ascii="Times New Roman" w:hAnsi="Times New Roman"/>
                <w:sz w:val="18"/>
              </w:rPr>
              <w:t>Streamlit &amp; Plotly</w:t>
            </w:r>
          </w:p>
        </w:tc>
        <w:tc>
          <w:tcPr>
            <w:tcW w:type="dxa" w:w="4176"/>
            <w:tcMar>
              <w:top w:w="45" w:type="dxa"/>
              <w:bottom w:w="45" w:type="dxa"/>
              <w:left w:w="80" w:type="dxa"/>
              <w:right w:w="80" w:type="dxa"/>
            </w:tcMar>
          </w:tcPr>
          <w:p>
            <w:pPr>
              <w:jc w:val="left"/>
            </w:pPr>
            <w:r>
              <w:rPr>
                <w:rFonts w:ascii="Times New Roman" w:hAnsi="Times New Roman"/>
                <w:sz w:val="18"/>
              </w:rPr>
              <w:t>Streamlit 1.32+, Plotly 5.20+ (Interactive Dark Theme)</w:t>
            </w:r>
          </w:p>
        </w:tc>
      </w:tr>
      <w:tr>
        <w:tc>
          <w:tcPr>
            <w:tcW w:type="dxa" w:w="2592"/>
            <w:tcMar>
              <w:top w:w="45" w:type="dxa"/>
              <w:bottom w:w="45" w:type="dxa"/>
              <w:left w:w="80" w:type="dxa"/>
              <w:right w:w="80" w:type="dxa"/>
            </w:tcMar>
          </w:tcPr>
          <w:p>
            <w:pPr>
              <w:jc w:val="left"/>
            </w:pPr>
            <w:r>
              <w:rPr>
                <w:rFonts w:ascii="Times New Roman" w:hAnsi="Times New Roman"/>
                <w:b/>
                <w:sz w:val="18"/>
              </w:rPr>
              <w:t>Quality Assurance &amp; Testing</w:t>
            </w:r>
          </w:p>
        </w:tc>
        <w:tc>
          <w:tcPr>
            <w:tcW w:type="dxa" w:w="2592"/>
            <w:tcMar>
              <w:top w:w="45" w:type="dxa"/>
              <w:bottom w:w="45" w:type="dxa"/>
              <w:left w:w="80" w:type="dxa"/>
              <w:right w:w="80" w:type="dxa"/>
            </w:tcMar>
          </w:tcPr>
          <w:p>
            <w:pPr>
              <w:jc w:val="left"/>
            </w:pPr>
            <w:r>
              <w:rPr>
                <w:rFonts w:ascii="Times New Roman" w:hAnsi="Times New Roman"/>
                <w:sz w:val="18"/>
              </w:rPr>
              <w:t>Pytest &amp; AnyIO</w:t>
            </w:r>
          </w:p>
        </w:tc>
        <w:tc>
          <w:tcPr>
            <w:tcW w:type="dxa" w:w="4176"/>
            <w:tcMar>
              <w:top w:w="45" w:type="dxa"/>
              <w:bottom w:w="45" w:type="dxa"/>
              <w:left w:w="80" w:type="dxa"/>
              <w:right w:w="80" w:type="dxa"/>
            </w:tcMar>
          </w:tcPr>
          <w:p>
            <w:pPr>
              <w:jc w:val="left"/>
            </w:pPr>
            <w:r>
              <w:rPr>
                <w:rFonts w:ascii="Times New Roman" w:hAnsi="Times New Roman"/>
                <w:sz w:val="18"/>
              </w:rPr>
              <w:t>Pytest 8.1+, Pytest-asyncio (27 Automated Test Cases)</w:t>
            </w:r>
          </w:p>
        </w:tc>
      </w:tr>
      <w:tr>
        <w:tc>
          <w:tcPr>
            <w:tcW w:type="dxa" w:w="2592"/>
            <w:tcMar>
              <w:top w:w="45" w:type="dxa"/>
              <w:bottom w:w="45" w:type="dxa"/>
              <w:left w:w="80" w:type="dxa"/>
              <w:right w:w="80" w:type="dxa"/>
            </w:tcMar>
          </w:tcPr>
          <w:p>
            <w:pPr>
              <w:jc w:val="left"/>
            </w:pPr>
            <w:r>
              <w:rPr>
                <w:rFonts w:ascii="Times New Roman" w:hAnsi="Times New Roman"/>
                <w:b/>
                <w:sz w:val="18"/>
              </w:rPr>
              <w:t>Audit &amp; Cryptography</w:t>
            </w:r>
          </w:p>
        </w:tc>
        <w:tc>
          <w:tcPr>
            <w:tcW w:type="dxa" w:w="2592"/>
            <w:tcMar>
              <w:top w:w="45" w:type="dxa"/>
              <w:bottom w:w="45" w:type="dxa"/>
              <w:left w:w="80" w:type="dxa"/>
              <w:right w:w="80" w:type="dxa"/>
            </w:tcMar>
          </w:tcPr>
          <w:p>
            <w:pPr>
              <w:jc w:val="left"/>
            </w:pPr>
            <w:r>
              <w:rPr>
                <w:rFonts w:ascii="Times New Roman" w:hAnsi="Times New Roman"/>
                <w:sz w:val="18"/>
              </w:rPr>
              <w:t>Python hashlib (SHA-256)</w:t>
            </w:r>
          </w:p>
        </w:tc>
        <w:tc>
          <w:tcPr>
            <w:tcW w:type="dxa" w:w="4176"/>
            <w:tcMar>
              <w:top w:w="45" w:type="dxa"/>
              <w:bottom w:w="45" w:type="dxa"/>
              <w:left w:w="80" w:type="dxa"/>
              <w:right w:w="80" w:type="dxa"/>
            </w:tcMar>
          </w:tcPr>
          <w:p>
            <w:pPr>
              <w:jc w:val="left"/>
            </w:pPr>
            <w:r>
              <w:rPr>
                <w:rFonts w:ascii="Times New Roman" w:hAnsi="Times New Roman"/>
                <w:sz w:val="18"/>
              </w:rPr>
              <w:t>Standard Library Cryptographic Hash Chaining</w:t>
            </w:r>
          </w:p>
        </w:tc>
      </w:tr>
    </w:tbl>
    <w:p>
      <w:pPr>
        <w:spacing w:before="80" w:after="200" w:line="276" w:lineRule="auto"/>
        <w:jc w:val="center"/>
      </w:pPr>
      <w:r>
        <w:rPr>
          <w:rFonts w:ascii="Times New Roman" w:hAnsi="Times New Roman"/>
          <w:b/>
          <w:i/>
          <w:sz w:val="18"/>
        </w:rPr>
        <w:t>Table 2.2: Software Stack, Dependencies and Engineering Frameworks</w:t>
      </w:r>
    </w:p>
    <w:p>
      <w:pPr>
        <w:spacing w:before="160" w:after="80" w:line="276" w:lineRule="auto"/>
        <w:jc w:val="left"/>
      </w:pPr>
      <w:r>
        <w:rPr>
          <w:rFonts w:ascii="Times New Roman" w:hAnsi="Times New Roman"/>
          <w:b/>
          <w:color w:val="142D55"/>
          <w:sz w:val="26"/>
        </w:rPr>
        <w:t>2.6 SURVEY OF TECHNOLOGY AND ALGORITHMIC FOUNDATIONS</w:t>
      </w:r>
    </w:p>
    <w:p>
      <w:pPr>
        <w:spacing w:before="0" w:after="80" w:line="276" w:lineRule="auto"/>
        <w:jc w:val="both"/>
      </w:pPr>
      <w:r>
        <w:rPr>
          <w:rFonts w:ascii="Times New Roman" w:hAnsi="Times New Roman"/>
          <w:color w:val="1E232D"/>
          <w:sz w:val="22"/>
        </w:rPr>
        <w:t>To establish a solid technical foundation, the core algorithms and software paradigms incorporated into RetainIQ are reviewed with mathematical and computational rigor:</w:t>
      </w:r>
    </w:p>
    <w:p>
      <w:pPr>
        <w:spacing w:before="0" w:after="80" w:line="276" w:lineRule="auto"/>
        <w:jc w:val="both"/>
      </w:pPr>
      <w:r>
        <w:rPr>
          <w:rFonts w:ascii="Times New Roman" w:hAnsi="Times New Roman"/>
          <w:b/>
          <w:color w:val="141E2D"/>
          <w:sz w:val="22"/>
        </w:rPr>
        <w:t xml:space="preserve">1. Theoretical Foundations of Survival Analysis: </w:t>
      </w:r>
      <w:r>
        <w:rPr>
          <w:rFonts w:ascii="Times New Roman" w:hAnsi="Times New Roman"/>
          <w:color w:val="1E232D"/>
          <w:sz w:val="22"/>
        </w:rPr>
        <w:t>Survival analysis models the distribution of time until an event occurs (T &gt;= 0). The fundamental quantities of interest are the Survival Function S(t) = P(T &gt; t) and the Hazard Function h(t). The hazard function h(t) represents the instantaneous rate of event occurrence given survival up to time t: h(t) = lim_{Delta t -&gt; 0} P(t &lt;= T &lt; t + Delta t | T &gt;= t) / Delta t. The cumulative hazard H(t) is defined as the integral of h(u) from 0 to t, yielding the exact mathematical identity: S(t) = exp(-H(t)). Unlike standard classification models that minimize cross-entropy loss over binary labels, survival models maximize a likelihood function that explicitly partitions the cohort into uncensored event contributions (f(T_i)) and right-censored survival contributions (S(T_i)).</w:t>
      </w:r>
    </w:p>
    <w:p>
      <w:pPr>
        <w:spacing w:before="0" w:after="80" w:line="276" w:lineRule="auto"/>
        <w:jc w:val="both"/>
      </w:pPr>
      <w:r>
        <w:rPr>
          <w:rFonts w:ascii="Times New Roman" w:hAnsi="Times New Roman"/>
          <w:b/>
          <w:color w:val="141E2D"/>
          <w:sz w:val="22"/>
        </w:rPr>
        <w:t xml:space="preserve">2. Semi-Parametric Cox Proportional Hazards (Cox PH): </w:t>
      </w:r>
      <w:r>
        <w:rPr>
          <w:rFonts w:ascii="Times New Roman" w:hAnsi="Times New Roman"/>
          <w:color w:val="1E232D"/>
          <w:sz w:val="22"/>
        </w:rPr>
        <w:t>The semi-parametric Cox model assumes the hazard for individual i with covariate vector x_i can be factored into a non-parametric baseline hazard h_0(t) and a parametric exponential covariate multiplier: h(t | x_i) = h_0(t) exp(beta^T x_i). The principal advantage of Cox PH is that the baseline hazard h_0(t) cancels out when formulating the partial likelihood over the set of individuals at risk R(t_i) at each event time t_i: L(beta) = prod_{i: d_i=1} [exp(beta^T x_i) / sum_{j in R(t_i)} exp(beta^T x_j)]. This allows robust estimation of covariate hazard ratios (HR = exp(beta)) without making restrictive distributional assumptions regarding the underlying survival trajectory.</w:t>
      </w:r>
    </w:p>
    <w:p>
      <w:pPr>
        <w:spacing w:before="0" w:after="80" w:line="276" w:lineRule="auto"/>
        <w:jc w:val="both"/>
      </w:pPr>
      <w:r>
        <w:rPr>
          <w:rFonts w:ascii="Times New Roman" w:hAnsi="Times New Roman"/>
          <w:b/>
          <w:color w:val="141E2D"/>
          <w:sz w:val="22"/>
        </w:rPr>
        <w:t xml:space="preserve">3. Parametric Weibull Accelerated Failure Time (AFT): </w:t>
      </w:r>
      <w:r>
        <w:rPr>
          <w:rFonts w:ascii="Times New Roman" w:hAnsi="Times New Roman"/>
          <w:color w:val="1E232D"/>
          <w:sz w:val="22"/>
        </w:rPr>
        <w:t>In contrast to the semi-parametric formulation, Accelerated Failure Time (AFT) models assume that covariates act multiplicatively on the time scale itself, accelerating or decelerating the rate of aging: ln(T_i) = mu + alpha^T x_i + sigma W_i, where W_i represents an extreme value error distribution. Under the Weibull distribution, the baseline hazard follows h_0(t) = (gamma / lambda) * (t / lambda)^{gamma - 1}, where gamma denotes the shape parameter and lambda denotes the scale parameter. When gamma &gt; 1, the hazard rate increases over tenure (aging effect); when gamma &lt; 1, the hazard rate decreases (burn-in effect). This parametric formulation enables analytical calculation of restricted mean survival times and continuous quantile projections.</w:t>
      </w:r>
    </w:p>
    <w:p>
      <w:pPr>
        <w:spacing w:before="0" w:after="80" w:line="276" w:lineRule="auto"/>
        <w:jc w:val="both"/>
      </w:pPr>
      <w:r>
        <w:rPr>
          <w:rFonts w:ascii="Times New Roman" w:hAnsi="Times New Roman"/>
          <w:b/>
          <w:color w:val="141E2D"/>
          <w:sz w:val="22"/>
        </w:rPr>
        <w:t xml:space="preserve">4. Non-Linear Random Survival Forests (RSF): </w:t>
      </w:r>
      <w:r>
        <w:rPr>
          <w:rFonts w:ascii="Times New Roman" w:hAnsi="Times New Roman"/>
          <w:color w:val="1E232D"/>
          <w:sz w:val="22"/>
        </w:rPr>
        <w:t>Random Survival Forests extend Breiman's ensemble random forest paradigm to right-censored data (Ishwaran et al., 2008). Unlike classification trees that split on Gini impurity or variance, survival trees recursively partition feature space by maximizing the log-rank split statistic between daughter nodes. In each terminal node, a Nelson-Aalen cumulative hazard estimator is computed. The forest ensemble aggregates these estimates across 100 trees to construct non-linear, non-parametric survival curves that naturally capture high-order covariate interactions without requiring manual feature engineering.</w:t>
      </w:r>
    </w:p>
    <w:p>
      <w:pPr>
        <w:spacing w:before="0" w:after="80" w:line="276" w:lineRule="auto"/>
        <w:jc w:val="both"/>
      </w:pPr>
      <w:r>
        <w:rPr>
          <w:rFonts w:ascii="Times New Roman" w:hAnsi="Times New Roman"/>
          <w:b/>
          <w:color w:val="141E2D"/>
          <w:sz w:val="22"/>
        </w:rPr>
        <w:t xml:space="preserve">5. Causal Uplift Meta-Learners (S-Learner and T-Learner): </w:t>
      </w:r>
      <w:r>
        <w:rPr>
          <w:rFonts w:ascii="Times New Roman" w:hAnsi="Times New Roman"/>
          <w:color w:val="1E232D"/>
          <w:sz w:val="22"/>
        </w:rPr>
        <w:t>To estimate counterfactual treatment effects under multiple intervention candidates, RetainIQ deploys Meta-Learner architectures (Künzel et al., 2019). The T-Learner fits separate base survival estimators for each treatment arm: mu_k(x) = E[S_k(t) | X=x] and mu_0(x) = E[S_0(t) | X=x]. The Conditional Average Treatment Effect (CATE) is then obtained as the counterfactual contrast: tau_k(x) = mu_k(x) - mu_0(x). In contrast, the S-Learner includes the treatment indicator as an integrated feature within a single composite model: mu(x, w). By evaluating uplift directly in the probability domain, the system accurately isolates incremental treatment sensitivity.</w:t>
      </w:r>
    </w:p>
    <w:p>
      <w:r>
        <w:br w:type="page"/>
      </w:r>
    </w:p>
    <w:p>
      <w:pPr>
        <w:spacing w:before="300" w:after="240" w:line="276" w:lineRule="auto"/>
        <w:jc w:val="left"/>
      </w:pPr>
      <w:r>
        <w:rPr>
          <w:rFonts w:ascii="Times New Roman" w:hAnsi="Times New Roman"/>
          <w:b/>
          <w:color w:val="0F1E41"/>
          <w:sz w:val="30"/>
        </w:rPr>
        <w:t>CHAPTER 3: SYSTEM DESIGN</w:t>
      </w:r>
    </w:p>
    <w:p>
      <w:pPr>
        <w:spacing w:before="0" w:after="80" w:line="276" w:lineRule="auto"/>
        <w:jc w:val="both"/>
      </w:pPr>
      <w:r>
        <w:rPr>
          <w:rFonts w:ascii="Times New Roman" w:hAnsi="Times New Roman"/>
          <w:color w:val="1E232D"/>
          <w:sz w:val="22"/>
        </w:rPr>
        <w:t>System design represents the architectural blueprint of RetainIQ, establishing how abstract statistical theories and machine learning algorithms are translated into a cohesive, decoupled, and production-grade software system. The design follows enterprise software engineering best practices: strict separation of concerns, modular pipeline organization, immutable data artifact frozen-states, cryptographic auditability, and standardized REST microservice contracts. This chapter provides a detailed examination of the functional modules, architectural diagrams, project lifecycle timelines, data flow diagrams, and Unified Modeling Language (UML) structural and behavioral specifications.</w:t>
      </w:r>
    </w:p>
    <w:p>
      <w:pPr>
        <w:spacing w:before="160" w:after="80" w:line="276" w:lineRule="auto"/>
        <w:jc w:val="left"/>
      </w:pPr>
      <w:r>
        <w:rPr>
          <w:rFonts w:ascii="Times New Roman" w:hAnsi="Times New Roman"/>
          <w:b/>
          <w:color w:val="142D55"/>
          <w:sz w:val="26"/>
        </w:rPr>
        <w:t>3.1 MODULE DIVISION AND FUNCTIONAL DECOMPOSITION</w:t>
      </w:r>
    </w:p>
    <w:p>
      <w:pPr>
        <w:spacing w:before="0" w:after="80" w:line="276" w:lineRule="auto"/>
        <w:jc w:val="both"/>
      </w:pPr>
      <w:r>
        <w:rPr>
          <w:rFonts w:ascii="Times New Roman" w:hAnsi="Times New Roman"/>
          <w:color w:val="1E232D"/>
          <w:sz w:val="22"/>
        </w:rPr>
        <w:t>RetainIQ is architectured into eight distinct, decoupled functional modules located within the src/, api/, and app/ packages. Each module possesses dedicated responsibilities, strict interface boundaries, and independent unit test coverage:</w:t>
      </w:r>
    </w:p>
    <w:p>
      <w:pPr>
        <w:spacing w:before="40" w:after="60" w:line="276" w:lineRule="auto"/>
        <w:jc w:val="both"/>
      </w:pPr>
      <w:r>
        <w:rPr>
          <w:rFonts w:ascii="Times New Roman" w:hAnsi="Times New Roman"/>
          <w:b/>
          <w:color w:val="141E2D"/>
          <w:sz w:val="22"/>
        </w:rPr>
        <w:t xml:space="preserve">Module 1: Ingestion &amp; Preprocessing (src/data_preprocessing.py): </w:t>
      </w:r>
      <w:r>
        <w:rPr>
          <w:rFonts w:ascii="Times New Roman" w:hAnsi="Times New Roman"/>
          <w:color w:val="1E232D"/>
          <w:sz w:val="22"/>
        </w:rPr>
        <w:t>Responsible for ingesting raw customer CSV records, verifying cryptographic data integrity hashes, identifying and coercing whitespace anomalies in TotalCharges to numeric formats, executing tenure-stratified median imputation, performing one-hot categorical encoding with reference category removal, and writing frozen train/test feature artifacts to disk.</w:t>
      </w:r>
    </w:p>
    <w:p>
      <w:pPr>
        <w:spacing w:before="40" w:after="60" w:line="276" w:lineRule="auto"/>
        <w:jc w:val="both"/>
      </w:pPr>
      <w:r>
        <w:rPr>
          <w:rFonts w:ascii="Times New Roman" w:hAnsi="Times New Roman"/>
          <w:b/>
          <w:color w:val="141E2D"/>
          <w:sz w:val="22"/>
        </w:rPr>
        <w:t xml:space="preserve">Module 2: Leakage Prevention &amp; Audit (src/leakage_checks.py): </w:t>
      </w:r>
      <w:r>
        <w:rPr>
          <w:rFonts w:ascii="Times New Roman" w:hAnsi="Times New Roman"/>
          <w:color w:val="1E232D"/>
          <w:sz w:val="22"/>
        </w:rPr>
        <w:t>Enforces strict data hygiene by inspecting feature columns against forbidden future-leakage lists, verifying that data transformers (scalers and imputers) are fitted exclusively on the training partition, and mathematically auditing censoring consistency.</w:t>
      </w:r>
    </w:p>
    <w:p>
      <w:pPr>
        <w:spacing w:before="40" w:after="60" w:line="276" w:lineRule="auto"/>
        <w:jc w:val="both"/>
      </w:pPr>
      <w:r>
        <w:rPr>
          <w:rFonts w:ascii="Times New Roman" w:hAnsi="Times New Roman"/>
          <w:b/>
          <w:color w:val="141E2D"/>
          <w:sz w:val="22"/>
        </w:rPr>
        <w:t xml:space="preserve">Module 3: Survival Modeling Engine (src/survival_models.py): </w:t>
      </w:r>
      <w:r>
        <w:rPr>
          <w:rFonts w:ascii="Times New Roman" w:hAnsi="Times New Roman"/>
          <w:color w:val="1E232D"/>
          <w:sz w:val="22"/>
        </w:rPr>
        <w:t>Encapsulates multi-paradigm survival estimators: Kaplan-Meier non-parametric baselines, semi-parametric Cox Proportional Hazards fitted via Newton-Raphson partial likelihood optimization, parametric Weibull Accelerated Failure Time models, and Random Survival Forest ensembles. Provides standardized interfaces for extracting cumulative hazard H(t) and survival curves S(t).</w:t>
      </w:r>
    </w:p>
    <w:p>
      <w:pPr>
        <w:spacing w:before="40" w:after="60" w:line="276" w:lineRule="auto"/>
        <w:jc w:val="both"/>
      </w:pPr>
      <w:r>
        <w:rPr>
          <w:rFonts w:ascii="Times New Roman" w:hAnsi="Times New Roman"/>
          <w:b/>
          <w:color w:val="141E2D"/>
          <w:sz w:val="22"/>
        </w:rPr>
        <w:t xml:space="preserve">Module 4: Survival Prediction &amp; Evaluation (src/survival_predictions.py, src/survival_evaluation.py): </w:t>
      </w:r>
      <w:r>
        <w:rPr>
          <w:rFonts w:ascii="Times New Roman" w:hAnsi="Times New Roman"/>
          <w:color w:val="1E232D"/>
          <w:sz w:val="22"/>
        </w:rPr>
        <w:t>Computes horizon-specific survival probabilities (30, 60, 90, 180 days) for individual subscribers, stratifies customer cohorts into discrete risk tiers (Low, Medium, High, Critical), and calculates time-dependent Brier scores and Harrell's Concordance Indices.</w:t>
      </w:r>
    </w:p>
    <w:p>
      <w:pPr>
        <w:spacing w:before="40" w:after="60" w:line="276" w:lineRule="auto"/>
        <w:jc w:val="both"/>
      </w:pPr>
      <w:r>
        <w:rPr>
          <w:rFonts w:ascii="Times New Roman" w:hAnsi="Times New Roman"/>
          <w:b/>
          <w:color w:val="141E2D"/>
          <w:sz w:val="22"/>
        </w:rPr>
        <w:t xml:space="preserve">Module 5: Causal Uplift &amp; Treatment Modeling (src/treatment_effects.py): </w:t>
      </w:r>
      <w:r>
        <w:rPr>
          <w:rFonts w:ascii="Times New Roman" w:hAnsi="Times New Roman"/>
          <w:color w:val="1E232D"/>
          <w:sz w:val="22"/>
        </w:rPr>
        <w:t>Implements Meta-Learner architectures (T-Learner, S-Learner, and X-Learner) across four candidate retention interventions. Computes the Conditional Average Treatment Effect (CATE) tau(x) = Delta S(t|x) for every customer-treatment pair and evaluates ranking accuracy via cumulative Qini curves and PEHE RMSE.</w:t>
      </w:r>
    </w:p>
    <w:p>
      <w:pPr>
        <w:spacing w:before="40" w:after="60" w:line="276" w:lineRule="auto"/>
        <w:jc w:val="both"/>
      </w:pPr>
      <w:r>
        <w:rPr>
          <w:rFonts w:ascii="Times New Roman" w:hAnsi="Times New Roman"/>
          <w:b/>
          <w:color w:val="141E2D"/>
          <w:sz w:val="22"/>
        </w:rPr>
        <w:t xml:space="preserve">Module 6: Prescriptive Ranking &amp; Budget Knapsack (src/treatment_ranking.py): </w:t>
      </w:r>
      <w:r>
        <w:rPr>
          <w:rFonts w:ascii="Times New Roman" w:hAnsi="Times New Roman"/>
          <w:color w:val="1E232D"/>
          <w:sz w:val="22"/>
        </w:rPr>
        <w:t>Evaluates net Expected Retention Value (ERV = Delta S * LTV - Cost) for every candidate intervention, implements greedy and knapsack portfolio budget allocation under aggregate spend caps, and enforces margin-protecting fallback logic ('No Intervention' if ERV &lt;= 0).</w:t>
      </w:r>
    </w:p>
    <w:p>
      <w:pPr>
        <w:spacing w:before="40" w:after="60" w:line="276" w:lineRule="auto"/>
        <w:jc w:val="both"/>
      </w:pPr>
      <w:r>
        <w:rPr>
          <w:rFonts w:ascii="Times New Roman" w:hAnsi="Times New Roman"/>
          <w:b/>
          <w:color w:val="141E2D"/>
          <w:sz w:val="22"/>
        </w:rPr>
        <w:t xml:space="preserve">Module 7: Enterprise Governance &amp; Cryptographic Audit (src/audit.py, src/monitoring.py, src/robustness.py): </w:t>
      </w:r>
      <w:r>
        <w:rPr>
          <w:rFonts w:ascii="Times New Roman" w:hAnsi="Times New Roman"/>
          <w:color w:val="1E232D"/>
          <w:sz w:val="22"/>
        </w:rPr>
        <w:t>Maintains an immutable SHA-256 cryptographic hash-chained audit ledger of all prescriptions and manual overrides. Computes continuous Population Stability Index (PSI) drift metrics across input features, and executes automated noise/missingness stress testing suites.</w:t>
      </w:r>
    </w:p>
    <w:p>
      <w:pPr>
        <w:spacing w:before="40" w:after="60" w:line="276" w:lineRule="auto"/>
        <w:jc w:val="both"/>
      </w:pPr>
      <w:r>
        <w:rPr>
          <w:rFonts w:ascii="Times New Roman" w:hAnsi="Times New Roman"/>
          <w:b/>
          <w:color w:val="141E2D"/>
          <w:sz w:val="22"/>
        </w:rPr>
        <w:t xml:space="preserve">Module 8: Dual Delivery Interfaces (api/routes.py, app/streamlit_app.py): </w:t>
      </w:r>
      <w:r>
        <w:rPr>
          <w:rFonts w:ascii="Times New Roman" w:hAnsi="Times New Roman"/>
          <w:color w:val="1E232D"/>
          <w:sz w:val="22"/>
        </w:rPr>
        <w:t>Exposes low-latency (&lt;15ms) RESTful endpoints for real-time programmatic scoring via FastAPI, and powers an interactive, dark-themed 11-page decision cockpit via Streamlit for business analysts, campaign planners, and executive stakeholders.</w:t>
      </w:r>
    </w:p>
    <w:p>
      <w:pPr>
        <w:spacing w:before="160" w:after="80" w:line="276" w:lineRule="auto"/>
        <w:jc w:val="left"/>
      </w:pPr>
      <w:r>
        <w:rPr>
          <w:rFonts w:ascii="Times New Roman" w:hAnsi="Times New Roman"/>
          <w:b/>
          <w:color w:val="142D55"/>
          <w:sz w:val="26"/>
        </w:rPr>
        <w:t>3.2 SYSTEM ARCHITECTURE</w:t>
      </w:r>
    </w:p>
    <w:p>
      <w:pPr>
        <w:spacing w:before="0" w:after="80" w:line="276" w:lineRule="auto"/>
        <w:jc w:val="both"/>
      </w:pPr>
      <w:r>
        <w:rPr>
          <w:rFonts w:ascii="Times New Roman" w:hAnsi="Times New Roman"/>
          <w:color w:val="1E232D"/>
          <w:sz w:val="22"/>
        </w:rPr>
        <w:t>The overall system architecture of RetainIQ follows a layered, pipelined dataflow pattern designed to decouple feature extraction and model training from online serving and decision optimization. The architectural layers comprise:</w:t>
      </w:r>
    </w:p>
    <w:p>
      <w:pPr>
        <w:spacing w:before="40" w:after="60" w:line="276" w:lineRule="auto"/>
        <w:jc w:val="both"/>
      </w:pPr>
      <w:r>
        <w:rPr>
          <w:rFonts w:ascii="Times New Roman" w:hAnsi="Times New Roman"/>
          <w:b/>
          <w:color w:val="141E2D"/>
          <w:sz w:val="22"/>
        </w:rPr>
        <w:t xml:space="preserve">Data Ingestion &amp; Integrity Layer: </w:t>
      </w:r>
      <w:r>
        <w:rPr>
          <w:rFonts w:ascii="Times New Roman" w:hAnsi="Times New Roman"/>
          <w:color w:val="1E232D"/>
          <w:sz w:val="22"/>
        </w:rPr>
        <w:t>Ingests raw enterprise customer telemetry, performs schema validation against Pydantic models, handles whitespace-missing values, and computes SHA-256 data integrity fingerprints.</w:t>
      </w:r>
    </w:p>
    <w:p>
      <w:pPr>
        <w:spacing w:before="40" w:after="60" w:line="276" w:lineRule="auto"/>
        <w:jc w:val="both"/>
      </w:pPr>
      <w:r>
        <w:rPr>
          <w:rFonts w:ascii="Times New Roman" w:hAnsi="Times New Roman"/>
          <w:b/>
          <w:color w:val="141E2D"/>
          <w:sz w:val="22"/>
        </w:rPr>
        <w:t xml:space="preserve">Leakage-Guarded Transformation Layer: </w:t>
      </w:r>
      <w:r>
        <w:rPr>
          <w:rFonts w:ascii="Times New Roman" w:hAnsi="Times New Roman"/>
          <w:color w:val="1E232D"/>
          <w:sz w:val="22"/>
        </w:rPr>
        <w:t>Isolates stratified train and test partitions prior to computing transformation parameters, preventing future target leakage and establishing a certified zero-leakage pipeline.</w:t>
      </w:r>
    </w:p>
    <w:p>
      <w:pPr>
        <w:spacing w:before="40" w:after="60" w:line="276" w:lineRule="auto"/>
        <w:jc w:val="both"/>
      </w:pPr>
      <w:r>
        <w:rPr>
          <w:rFonts w:ascii="Times New Roman" w:hAnsi="Times New Roman"/>
          <w:b/>
          <w:color w:val="141E2D"/>
          <w:sz w:val="22"/>
        </w:rPr>
        <w:t xml:space="preserve">Multi-Paradigm Survival Engine: </w:t>
      </w:r>
      <w:r>
        <w:rPr>
          <w:rFonts w:ascii="Times New Roman" w:hAnsi="Times New Roman"/>
          <w:color w:val="1E232D"/>
          <w:sz w:val="22"/>
        </w:rPr>
        <w:t>Trains and evaluates Kaplan-Meier, Cox Proportional Hazards, Weibull AFT, and Random Survival Forest models, emitting calibrated continuous survival curves S_i(t) and hazard percentiles.</w:t>
      </w:r>
    </w:p>
    <w:p>
      <w:pPr>
        <w:spacing w:before="40" w:after="60" w:line="276" w:lineRule="auto"/>
        <w:jc w:val="both"/>
      </w:pPr>
      <w:r>
        <w:rPr>
          <w:rFonts w:ascii="Times New Roman" w:hAnsi="Times New Roman"/>
          <w:b/>
          <w:color w:val="141E2D"/>
          <w:sz w:val="22"/>
        </w:rPr>
        <w:t xml:space="preserve">Causal Uplift &amp; Decision Engine: </w:t>
      </w:r>
      <w:r>
        <w:rPr>
          <w:rFonts w:ascii="Times New Roman" w:hAnsi="Times New Roman"/>
          <w:color w:val="1E232D"/>
          <w:sz w:val="22"/>
        </w:rPr>
        <w:t>Combines survival predictions with T-Learner meta-models to estimate heterogeneous treatment uplift Delta S_ik(t), evaluating individual ERV values and executing constrained knapsack budget allocation.</w:t>
      </w:r>
    </w:p>
    <w:p>
      <w:pPr>
        <w:spacing w:before="40" w:after="60" w:line="276" w:lineRule="auto"/>
        <w:jc w:val="both"/>
      </w:pPr>
      <w:r>
        <w:rPr>
          <w:rFonts w:ascii="Times New Roman" w:hAnsi="Times New Roman"/>
          <w:b/>
          <w:color w:val="141E2D"/>
          <w:sz w:val="22"/>
        </w:rPr>
        <w:t xml:space="preserve">Governance &amp; Operational Interface Layer: </w:t>
      </w:r>
      <w:r>
        <w:rPr>
          <w:rFonts w:ascii="Times New Roman" w:hAnsi="Times New Roman"/>
          <w:color w:val="1E232D"/>
          <w:sz w:val="22"/>
        </w:rPr>
        <w:t>Records tamper-evident audit records via SHA-256 chaining, monitors feature PSI drift, and delivers real-time inferences through FastAPI endpoints and an 11-page interactive Streamlit dashboard.</w:t>
      </w:r>
    </w:p>
    <w:p>
      <w:pPr>
        <w:spacing w:before="80" w:after="120" w:line="276" w:lineRule="auto"/>
        <w:jc w:val="both"/>
      </w:pPr>
      <w:r>
        <w:rPr>
          <w:rFonts w:ascii="Times New Roman" w:hAnsi="Times New Roman"/>
          <w:color w:val="1E232D"/>
          <w:sz w:val="22"/>
        </w:rPr>
        <w:t>Figure 3.1 illustrates the complete RetainIQ multi-stage system architecture, detailing the flow of telemetry from ingestion to prescriptive allocation and cryptographic audit logging:</w:t>
      </w:r>
    </w:p>
    <w:p>
      <w:pPr>
        <w:spacing w:before="120" w:after="60"/>
        <w:jc w:val="center"/>
      </w:pPr>
      <w:r>
        <w:drawing>
          <wp:inline xmlns:a="http://schemas.openxmlformats.org/drawingml/2006/main" xmlns:pic="http://schemas.openxmlformats.org/drawingml/2006/picture">
            <wp:extent cx="4937760" cy="394239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4937760" cy="3942399"/>
                    </a:xfrm>
                    <a:prstGeom prst="rect"/>
                  </pic:spPr>
                </pic:pic>
              </a:graphicData>
            </a:graphic>
          </wp:inline>
        </w:drawing>
      </w:r>
    </w:p>
    <w:p>
      <w:pPr>
        <w:spacing w:before="40" w:after="160"/>
        <w:jc w:val="center"/>
      </w:pPr>
      <w:r>
        <w:rPr>
          <w:rFonts w:ascii="Times New Roman" w:hAnsi="Times New Roman"/>
          <w:b/>
          <w:i/>
          <w:color w:val="283246"/>
          <w:sz w:val="19"/>
        </w:rPr>
        <w:t>Figure 3.1: Overall RetainIQ Multi-Stage System Architecture</w:t>
      </w:r>
    </w:p>
    <w:p>
      <w:pPr>
        <w:spacing w:before="0" w:after="160" w:line="276" w:lineRule="auto"/>
        <w:jc w:val="both"/>
      </w:pPr>
      <w:r>
        <w:rPr>
          <w:rFonts w:ascii="Times New Roman" w:hAnsi="Times New Roman"/>
          <w:color w:val="1E232D"/>
          <w:sz w:val="22"/>
        </w:rPr>
        <w:t>As depicted in Figure 3.1, raw enterprise customer telemetry enters through the Ingestion &amp; Cleaning Layer, where whitespace anomalies in TotalCharges are rectified via stratified median imputation. The pipeline splits data into strictly disjoint 80/20 train and test sets before fitting transformers, guaranteeing zero data leakage. In the Modeling Core, parallel survival estimators (Cox PH, Weibull AFT, RSF) generate multi-horizon survival curves S(t). These baseline survival probabilities feed directly into the Causal Uplift Engine, where T-Learner models evaluate the counterfactual survival gain Delta S_ik(t) across candidate treatments. The Prescriptive Ranking Engine evaluates net ERV, filtering non-positive interventions into zero-cost fallbacks. Finally, all decisions pass into the Cryptographic Audit Trail and are served to downstream consumers via FastAPI and Streamlit.</w:t>
      </w:r>
    </w:p>
    <w:p>
      <w:pPr>
        <w:spacing w:before="160" w:after="80" w:line="276" w:lineRule="auto"/>
        <w:jc w:val="left"/>
      </w:pPr>
      <w:r>
        <w:rPr>
          <w:rFonts w:ascii="Times New Roman" w:hAnsi="Times New Roman"/>
          <w:b/>
          <w:color w:val="142D55"/>
          <w:sz w:val="26"/>
        </w:rPr>
        <w:t>3.3 PROJECT DEVELOPMENT GANTT CHART</w:t>
      </w:r>
    </w:p>
    <w:p>
      <w:pPr>
        <w:spacing w:before="0" w:after="80" w:line="276" w:lineRule="auto"/>
        <w:jc w:val="both"/>
      </w:pPr>
      <w:r>
        <w:rPr>
          <w:rFonts w:ascii="Times New Roman" w:hAnsi="Times New Roman"/>
          <w:color w:val="1E232D"/>
          <w:sz w:val="22"/>
        </w:rPr>
        <w:t>The engineering lifecycle of RetainIQ was organized across a 14-week schedule structured into five cohesive phases: (1) Phase I: Requirements Analysis &amp; Data Pipeline Formulation (Weeks 1–3); (2) Phase II: Exploratory Analysis &amp; Survival Modeling (Weeks 4–7); (3) Phase III: Causal Uplift &amp; Prescriptive Ranking (Weeks 8–10); (4) Phase IV: Governance, Robustness &amp; Interface Engineering (Weeks 11–12); and (5) Phase V: Testing, Verification &amp; Black Book Documentation (Weeks 13–14).</w:t>
      </w:r>
    </w:p>
    <w:p>
      <w:pPr>
        <w:spacing w:before="80" w:after="120" w:line="276" w:lineRule="auto"/>
        <w:jc w:val="both"/>
      </w:pPr>
      <w:r>
        <w:rPr>
          <w:rFonts w:ascii="Times New Roman" w:hAnsi="Times New Roman"/>
          <w:color w:val="1E232D"/>
          <w:sz w:val="22"/>
        </w:rPr>
        <w:t>Figure 3.2 illustrates the project timeline and work breakdown structure across all five development phases:</w:t>
      </w:r>
    </w:p>
    <w:p>
      <w:pPr>
        <w:spacing w:before="120" w:after="60"/>
        <w:jc w:val="center"/>
      </w:pPr>
      <w:r>
        <w:drawing>
          <wp:inline xmlns:a="http://schemas.openxmlformats.org/drawingml/2006/main" xmlns:pic="http://schemas.openxmlformats.org/drawingml/2006/picture">
            <wp:extent cx="4937760" cy="2672732"/>
            <wp:docPr id="2" name="Picture 2"/>
            <wp:cNvGraphicFramePr>
              <a:graphicFrameLocks noChangeAspect="1"/>
            </wp:cNvGraphicFramePr>
            <a:graphic>
              <a:graphicData uri="http://schemas.openxmlformats.org/drawingml/2006/picture">
                <pic:pic>
                  <pic:nvPicPr>
                    <pic:cNvPr id="0" name="gantt_chart.png"/>
                    <pic:cNvPicPr/>
                  </pic:nvPicPr>
                  <pic:blipFill>
                    <a:blip r:embed="rId12"/>
                    <a:stretch>
                      <a:fillRect/>
                    </a:stretch>
                  </pic:blipFill>
                  <pic:spPr>
                    <a:xfrm>
                      <a:off x="0" y="0"/>
                      <a:ext cx="4937760" cy="2672732"/>
                    </a:xfrm>
                    <a:prstGeom prst="rect"/>
                  </pic:spPr>
                </pic:pic>
              </a:graphicData>
            </a:graphic>
          </wp:inline>
        </w:drawing>
      </w:r>
    </w:p>
    <w:p>
      <w:pPr>
        <w:spacing w:before="40" w:after="160"/>
        <w:jc w:val="center"/>
      </w:pPr>
      <w:r>
        <w:rPr>
          <w:rFonts w:ascii="Times New Roman" w:hAnsi="Times New Roman"/>
          <w:b/>
          <w:i/>
          <w:color w:val="283246"/>
          <w:sz w:val="19"/>
        </w:rPr>
        <w:t>Figure 3.2: RetainIQ Engineering Lifecycle and Development Gantt Chart</w:t>
      </w:r>
    </w:p>
    <w:p>
      <w:pPr>
        <w:spacing w:before="0" w:after="160" w:line="276" w:lineRule="auto"/>
        <w:jc w:val="both"/>
      </w:pPr>
      <w:r>
        <w:rPr>
          <w:rFonts w:ascii="Times New Roman" w:hAnsi="Times New Roman"/>
          <w:color w:val="1E232D"/>
          <w:sz w:val="22"/>
        </w:rPr>
        <w:t>Figure 3.2 demonstrates the milestone progression of RetainIQ. Key dependencies included completing the zero-leakage data partitioning pipeline before initiating survival model benchmarking, and freezing trained survival estimators before calibrating the T-Learner and S-Learner causal uplift models. The final two weeks were dedicated to end-to-end automated pytest execution (achieving 27/27 passing tests), API load testing, and comprehensive Black Book documentation synthesis.</w:t>
      </w:r>
    </w:p>
    <w:p>
      <w:pPr>
        <w:spacing w:before="160" w:after="80" w:line="276" w:lineRule="auto"/>
        <w:jc w:val="left"/>
      </w:pPr>
      <w:r>
        <w:rPr>
          <w:rFonts w:ascii="Times New Roman" w:hAnsi="Times New Roman"/>
          <w:b/>
          <w:color w:val="142D55"/>
          <w:sz w:val="26"/>
        </w:rPr>
        <w:t>3.4 DATA FLOW REPRESENTATION (DFD LEVEL 0 &amp; LEVEL 1)</w:t>
      </w:r>
    </w:p>
    <w:p>
      <w:pPr>
        <w:spacing w:before="0" w:after="80" w:line="276" w:lineRule="auto"/>
        <w:jc w:val="both"/>
      </w:pPr>
      <w:r>
        <w:rPr>
          <w:rFonts w:ascii="Times New Roman" w:hAnsi="Times New Roman"/>
          <w:color w:val="1E232D"/>
          <w:sz w:val="22"/>
        </w:rPr>
        <w:t>Data Flow Diagrams (DFDs) provide a structured graphical representation of information movement, process transformations, and data storage repositories within RetainIQ. Figure 3.3 presents both the Level 0 Context Diagram and the Level 1 Functional Decomposition Diagram:</w:t>
      </w:r>
    </w:p>
    <w:p>
      <w:pPr>
        <w:spacing w:before="120" w:after="60"/>
        <w:jc w:val="center"/>
      </w:pPr>
      <w:r>
        <w:drawing>
          <wp:inline xmlns:a="http://schemas.openxmlformats.org/drawingml/2006/main" xmlns:pic="http://schemas.openxmlformats.org/drawingml/2006/picture">
            <wp:extent cx="4937760" cy="4031749"/>
            <wp:docPr id="3" name="Picture 3"/>
            <wp:cNvGraphicFramePr>
              <a:graphicFrameLocks noChangeAspect="1"/>
            </wp:cNvGraphicFramePr>
            <a:graphic>
              <a:graphicData uri="http://schemas.openxmlformats.org/drawingml/2006/picture">
                <pic:pic>
                  <pic:nvPicPr>
                    <pic:cNvPr id="0" name="dfd_level0_level1.png"/>
                    <pic:cNvPicPr/>
                  </pic:nvPicPr>
                  <pic:blipFill>
                    <a:blip r:embed="rId13"/>
                    <a:stretch>
                      <a:fillRect/>
                    </a:stretch>
                  </pic:blipFill>
                  <pic:spPr>
                    <a:xfrm>
                      <a:off x="0" y="0"/>
                      <a:ext cx="4937760" cy="4031749"/>
                    </a:xfrm>
                    <a:prstGeom prst="rect"/>
                  </pic:spPr>
                </pic:pic>
              </a:graphicData>
            </a:graphic>
          </wp:inline>
        </w:drawing>
      </w:r>
    </w:p>
    <w:p>
      <w:pPr>
        <w:spacing w:before="40" w:after="160"/>
        <w:jc w:val="center"/>
      </w:pPr>
      <w:r>
        <w:rPr>
          <w:rFonts w:ascii="Times New Roman" w:hAnsi="Times New Roman"/>
          <w:b/>
          <w:i/>
          <w:color w:val="283246"/>
          <w:sz w:val="19"/>
        </w:rPr>
        <w:t>Figure 3.3: Data Flow Diagrams: Level 0 Context and Level 1 Functional Decomposition</w:t>
      </w:r>
    </w:p>
    <w:p>
      <w:pPr>
        <w:spacing w:before="0" w:after="80" w:line="276" w:lineRule="auto"/>
        <w:jc w:val="both"/>
      </w:pPr>
      <w:r>
        <w:rPr>
          <w:rFonts w:ascii="Times New Roman" w:hAnsi="Times New Roman"/>
          <w:color w:val="1E232D"/>
          <w:sz w:val="22"/>
        </w:rPr>
        <w:t>In the Level 0 Context Diagram (top panel of Figure 3.3), the entire RetainIQ platform is represented as a single centralized prescriptive system interacting with four primary external entities: (1) Enterprise Data Warehouse (providing raw subscriber demographics and billing telemetry), (2) Retention Marketing Team (submitting campaign budget constraints and receiving priority action queues), (3) Customer Relationship Management (CRM) Systems (receiving real-time personalized treatment dispatches), and (4) Enterprise Governance &amp; Audit Committee (retrieving cryptographic audit proofs and PSI drift reports).</w:t>
      </w:r>
    </w:p>
    <w:p>
      <w:pPr>
        <w:spacing w:before="0" w:after="160" w:line="276" w:lineRule="auto"/>
        <w:jc w:val="both"/>
      </w:pPr>
      <w:r>
        <w:rPr>
          <w:rFonts w:ascii="Times New Roman" w:hAnsi="Times New Roman"/>
          <w:color w:val="1E232D"/>
          <w:sz w:val="22"/>
        </w:rPr>
        <w:t>In the Level 1 Functional Decomposition (bottom panel of Figure 3.3), the system is partitioned into six sequential sub-processes: (1.0) Data Ingestion &amp; Sanitization, (2.0) Leakage Guard &amp; Stratified Partitioning, (3.0) Survival Modeling &amp; Horizon Scoring, (4.0) Causal Uplift &amp; Counterfactual Estimation, (5.0) Prescriptive Ranking &amp; Knapsack Optimization, and (6.0) Cryptographic Audit Logging &amp; Interface Serving. Data stores explicitly isolate Frozen Clean Data (D1), Model Artifacts (D2), Prescriptive Decisions (D3), and the Tamper-Evident SHA-256 Ledger (D4).</w:t>
      </w:r>
    </w:p>
    <w:p>
      <w:pPr>
        <w:spacing w:before="160" w:after="80" w:line="276" w:lineRule="auto"/>
        <w:jc w:val="left"/>
      </w:pPr>
      <w:r>
        <w:rPr>
          <w:rFonts w:ascii="Times New Roman" w:hAnsi="Times New Roman"/>
          <w:b/>
          <w:color w:val="142D55"/>
          <w:sz w:val="26"/>
        </w:rPr>
        <w:t>3.5 UNIFIED MODELING LANGUAGE (UML) SPECIFICATIONS</w:t>
      </w:r>
    </w:p>
    <w:p>
      <w:pPr>
        <w:spacing w:before="0" w:after="80" w:line="276" w:lineRule="auto"/>
        <w:jc w:val="both"/>
      </w:pPr>
      <w:r>
        <w:rPr>
          <w:rFonts w:ascii="Times New Roman" w:hAnsi="Times New Roman"/>
          <w:color w:val="1E232D"/>
          <w:sz w:val="22"/>
        </w:rPr>
        <w:t>To provide rigorous object-oriented and behavioral design specifications, four standardized UML diagrams were engineered: Class Diagram, Sequence Diagram, State Chart Diagram, and Use-Case Diagram.</w:t>
      </w:r>
    </w:p>
    <w:p>
      <w:pPr>
        <w:spacing w:before="120" w:after="60" w:line="276" w:lineRule="auto"/>
        <w:jc w:val="left"/>
      </w:pPr>
      <w:r>
        <w:rPr>
          <w:rFonts w:ascii="Times New Roman" w:hAnsi="Times New Roman"/>
          <w:b/>
          <w:color w:val="1E375F"/>
          <w:sz w:val="23"/>
        </w:rPr>
        <w:t>3.5.1 UML Class Diagram</w:t>
      </w:r>
    </w:p>
    <w:p>
      <w:pPr>
        <w:spacing w:before="0" w:after="80" w:line="276" w:lineRule="auto"/>
        <w:jc w:val="both"/>
      </w:pPr>
      <w:r>
        <w:rPr>
          <w:rFonts w:ascii="Times New Roman" w:hAnsi="Times New Roman"/>
          <w:color w:val="1E232D"/>
          <w:sz w:val="22"/>
        </w:rPr>
        <w:t>The UML Class Diagram defines the static structure of RetainIQ, establishing class attributes, member methods, inheritance hierarchies, and composition relationships across the analytical engine. Figure 3.4 illustrates the core domain classes:</w:t>
      </w:r>
    </w:p>
    <w:p>
      <w:pPr>
        <w:spacing w:before="120" w:after="60"/>
        <w:jc w:val="center"/>
      </w:pPr>
      <w:r>
        <w:drawing>
          <wp:inline xmlns:a="http://schemas.openxmlformats.org/drawingml/2006/main" xmlns:pic="http://schemas.openxmlformats.org/drawingml/2006/picture">
            <wp:extent cx="4937760" cy="3499746"/>
            <wp:docPr id="4" name="Picture 4"/>
            <wp:cNvGraphicFramePr>
              <a:graphicFrameLocks noChangeAspect="1"/>
            </wp:cNvGraphicFramePr>
            <a:graphic>
              <a:graphicData uri="http://schemas.openxmlformats.org/drawingml/2006/picture">
                <pic:pic>
                  <pic:nvPicPr>
                    <pic:cNvPr id="0" name="uml_class_diagram.png"/>
                    <pic:cNvPicPr/>
                  </pic:nvPicPr>
                  <pic:blipFill>
                    <a:blip r:embed="rId14"/>
                    <a:stretch>
                      <a:fillRect/>
                    </a:stretch>
                  </pic:blipFill>
                  <pic:spPr>
                    <a:xfrm>
                      <a:off x="0" y="0"/>
                      <a:ext cx="4937760" cy="3499746"/>
                    </a:xfrm>
                    <a:prstGeom prst="rect"/>
                  </pic:spPr>
                </pic:pic>
              </a:graphicData>
            </a:graphic>
          </wp:inline>
        </w:drawing>
      </w:r>
    </w:p>
    <w:p>
      <w:pPr>
        <w:spacing w:before="40" w:after="160"/>
        <w:jc w:val="center"/>
      </w:pPr>
      <w:r>
        <w:rPr>
          <w:rFonts w:ascii="Times New Roman" w:hAnsi="Times New Roman"/>
          <w:b/>
          <w:i/>
          <w:color w:val="283246"/>
          <w:sz w:val="19"/>
        </w:rPr>
        <w:t>Figure 3.4: UML Class Diagram of RetainIQ Domain Models and Pipeline Classes</w:t>
      </w:r>
    </w:p>
    <w:p>
      <w:pPr>
        <w:spacing w:before="0" w:after="160" w:line="276" w:lineRule="auto"/>
        <w:jc w:val="both"/>
      </w:pPr>
      <w:r>
        <w:rPr>
          <w:rFonts w:ascii="Times New Roman" w:hAnsi="Times New Roman"/>
          <w:color w:val="1E232D"/>
          <w:sz w:val="22"/>
        </w:rPr>
        <w:t>As depicted in Figure 3.4, the system is anchored by the abstract base class SurvivalModelBase, which defines pure virtual interfaces for fit(), predict_survival_function(), and predict_hazard(). The concrete implementations—CoxPHModel, WeibullAFTModel, and RandomSurvivalForestModel—inherit from this interface. The UpliftMetaLearner class encapsulates treatment effect modeling, invoking underlying survival estimators to compute CATE. The TreatmentRankingEngine aggregates customer features, survival curves, and candidate treatments, executing knapsack ERV optimization. Finally, the AuditTrail class maintains an immutable chain of AuditRecord instances, verifying cryptographic block integrity via SHA-256 hashing.</w:t>
      </w:r>
    </w:p>
    <w:p>
      <w:pPr>
        <w:spacing w:before="120" w:after="60" w:line="276" w:lineRule="auto"/>
        <w:jc w:val="left"/>
      </w:pPr>
      <w:r>
        <w:rPr>
          <w:rFonts w:ascii="Times New Roman" w:hAnsi="Times New Roman"/>
          <w:b/>
          <w:color w:val="1E375F"/>
          <w:sz w:val="23"/>
        </w:rPr>
        <w:t>3.5.2 UML Sequence Diagram</w:t>
      </w:r>
    </w:p>
    <w:p>
      <w:pPr>
        <w:spacing w:before="0" w:after="80" w:line="276" w:lineRule="auto"/>
        <w:jc w:val="both"/>
      </w:pPr>
      <w:r>
        <w:rPr>
          <w:rFonts w:ascii="Times New Roman" w:hAnsi="Times New Roman"/>
          <w:color w:val="1E232D"/>
          <w:sz w:val="22"/>
        </w:rPr>
        <w:t>The UML Sequence Diagram models the dynamic, chronological message passing between system components during an online customer scoring and treatment prescription lifecycle. Figure 3.5 details the sequence of interactions:</w:t>
      </w:r>
    </w:p>
    <w:p>
      <w:pPr>
        <w:spacing w:before="120" w:after="60"/>
        <w:jc w:val="center"/>
      </w:pPr>
      <w:r>
        <w:drawing>
          <wp:inline xmlns:a="http://schemas.openxmlformats.org/drawingml/2006/main" xmlns:pic="http://schemas.openxmlformats.org/drawingml/2006/picture">
            <wp:extent cx="4937760" cy="3216997"/>
            <wp:docPr id="5" name="Picture 5"/>
            <wp:cNvGraphicFramePr>
              <a:graphicFrameLocks noChangeAspect="1"/>
            </wp:cNvGraphicFramePr>
            <a:graphic>
              <a:graphicData uri="http://schemas.openxmlformats.org/drawingml/2006/picture">
                <pic:pic>
                  <pic:nvPicPr>
                    <pic:cNvPr id="0" name="uml_sequence_diagram.png"/>
                    <pic:cNvPicPr/>
                  </pic:nvPicPr>
                  <pic:blipFill>
                    <a:blip r:embed="rId15"/>
                    <a:stretch>
                      <a:fillRect/>
                    </a:stretch>
                  </pic:blipFill>
                  <pic:spPr>
                    <a:xfrm>
                      <a:off x="0" y="0"/>
                      <a:ext cx="4937760" cy="3216997"/>
                    </a:xfrm>
                    <a:prstGeom prst="rect"/>
                  </pic:spPr>
                </pic:pic>
              </a:graphicData>
            </a:graphic>
          </wp:inline>
        </w:drawing>
      </w:r>
    </w:p>
    <w:p>
      <w:pPr>
        <w:spacing w:before="40" w:after="160"/>
        <w:jc w:val="center"/>
      </w:pPr>
      <w:r>
        <w:rPr>
          <w:rFonts w:ascii="Times New Roman" w:hAnsi="Times New Roman"/>
          <w:b/>
          <w:i/>
          <w:color w:val="283246"/>
          <w:sz w:val="19"/>
        </w:rPr>
        <w:t>Figure 3.5: UML Sequence Diagram: Asynchronous Customer Scoring and Prescription Lifecycle</w:t>
      </w:r>
    </w:p>
    <w:p>
      <w:pPr>
        <w:spacing w:before="0" w:after="160" w:line="276" w:lineRule="auto"/>
        <w:jc w:val="both"/>
      </w:pPr>
      <w:r>
        <w:rPr>
          <w:rFonts w:ascii="Times New Roman" w:hAnsi="Times New Roman"/>
          <w:color w:val="1E232D"/>
          <w:sz w:val="22"/>
        </w:rPr>
        <w:t>As shown in Figure 3.5, the workflow initiates when an API Client (or Streamlit session) dispatches an HTTP POST request to the /api/v1/score endpoint. The APIRouter deserializes and validates the payload via CustomerInput Pydantic models before passing it to the PreprocessingPipeline for feature vector scaling. The SurvivalEngine computes baseline survival probabilities S(t) across horizons (30, 60, 90, 180 days). The UpliftLearner computes counterfactual gains Delta S_k for candidate interventions. The RankingEngine evaluates ERV_ik, applies budget knapsack constraints, and verifies fallback rules. Once the optimal treatment is selected, an immutable record is committed to the AuditTrail via SHA-256 chaining before returning a complete JSON prescription payload to the client in &lt;15ms.</w:t>
      </w:r>
    </w:p>
    <w:p>
      <w:pPr>
        <w:spacing w:before="120" w:after="60" w:line="276" w:lineRule="auto"/>
        <w:jc w:val="left"/>
      </w:pPr>
      <w:r>
        <w:rPr>
          <w:rFonts w:ascii="Times New Roman" w:hAnsi="Times New Roman"/>
          <w:b/>
          <w:color w:val="1E375F"/>
          <w:sz w:val="23"/>
        </w:rPr>
        <w:t>3.5.3 UML State Chart and Use-Case Architecture</w:t>
      </w:r>
    </w:p>
    <w:p>
      <w:pPr>
        <w:spacing w:before="0" w:after="80" w:line="276" w:lineRule="auto"/>
        <w:jc w:val="both"/>
      </w:pPr>
      <w:r>
        <w:rPr>
          <w:rFonts w:ascii="Times New Roman" w:hAnsi="Times New Roman"/>
          <w:color w:val="1E232D"/>
          <w:sz w:val="22"/>
        </w:rPr>
        <w:t>Figure 3.6 presents the dual behavioral models of RetainIQ: the Customer Churn Lifecycle State Machine (top panel) and the Enterprise Use-Case Architecture (bottom panel):</w:t>
      </w:r>
    </w:p>
    <w:p>
      <w:pPr>
        <w:spacing w:before="120" w:after="60"/>
        <w:jc w:val="center"/>
      </w:pPr>
      <w:r>
        <w:drawing>
          <wp:inline xmlns:a="http://schemas.openxmlformats.org/drawingml/2006/main" xmlns:pic="http://schemas.openxmlformats.org/drawingml/2006/picture">
            <wp:extent cx="4937760" cy="2385946"/>
            <wp:docPr id="6" name="Picture 6"/>
            <wp:cNvGraphicFramePr>
              <a:graphicFrameLocks noChangeAspect="1"/>
            </wp:cNvGraphicFramePr>
            <a:graphic>
              <a:graphicData uri="http://schemas.openxmlformats.org/drawingml/2006/picture">
                <pic:pic>
                  <pic:nvPicPr>
                    <pic:cNvPr id="0" name="uml_state_and_usecase.png"/>
                    <pic:cNvPicPr/>
                  </pic:nvPicPr>
                  <pic:blipFill>
                    <a:blip r:embed="rId16"/>
                    <a:stretch>
                      <a:fillRect/>
                    </a:stretch>
                  </pic:blipFill>
                  <pic:spPr>
                    <a:xfrm>
                      <a:off x="0" y="0"/>
                      <a:ext cx="4937760" cy="2385946"/>
                    </a:xfrm>
                    <a:prstGeom prst="rect"/>
                  </pic:spPr>
                </pic:pic>
              </a:graphicData>
            </a:graphic>
          </wp:inline>
        </w:drawing>
      </w:r>
    </w:p>
    <w:p>
      <w:pPr>
        <w:spacing w:before="40" w:after="160"/>
        <w:jc w:val="center"/>
      </w:pPr>
      <w:r>
        <w:rPr>
          <w:rFonts w:ascii="Times New Roman" w:hAnsi="Times New Roman"/>
          <w:b/>
          <w:i/>
          <w:color w:val="283246"/>
          <w:sz w:val="19"/>
        </w:rPr>
        <w:t>Figure 3.6: UML State Machine and Enterprise Use-Case Interaction Architecture</w:t>
      </w:r>
    </w:p>
    <w:p>
      <w:pPr>
        <w:spacing w:before="0" w:after="80" w:line="276" w:lineRule="auto"/>
        <w:jc w:val="both"/>
      </w:pPr>
      <w:r>
        <w:rPr>
          <w:rFonts w:ascii="Times New Roman" w:hAnsi="Times New Roman"/>
          <w:color w:val="1E232D"/>
          <w:sz w:val="22"/>
        </w:rPr>
        <w:t>The State Machine Diagram (Figure 3.6, top) models the operational transitions of an account through five distinct states: (1) Active Safe State (90-day churn risk &lt; 15%), (2) Monitored State (risk 15–35%), (3) Escalated Risk State (risk 35–65%), (4) Prescribed Intervention State (where the customer is matched with an optimal treatment or assigned to zero-cost fallback), and (5) Terminal Absorbing States (either 'Successfully Retained' with restored survival trajectory, or 'Voluntary Churn' upon contract cancellation).</w:t>
      </w:r>
    </w:p>
    <w:p>
      <w:pPr>
        <w:spacing w:before="0" w:after="160" w:line="276" w:lineRule="auto"/>
        <w:jc w:val="both"/>
      </w:pPr>
      <w:r>
        <w:rPr>
          <w:rFonts w:ascii="Times New Roman" w:hAnsi="Times New Roman"/>
          <w:color w:val="1E232D"/>
          <w:sz w:val="22"/>
        </w:rPr>
        <w:t>The Use-Case Model (Figure 3.6, bottom) defines the interactions between four primary enterprise actors and twelve system use cases. The Retention Strategy Director analyzes portfolio ERV frontiers, sets campaign budget caps, and approves automated allocations. The Machine Learning Engineer inspects model benchmarking metrics, trains survival estimators, and reviews PSI feature drift. The Retention Marketing Analyst explores single-customer 360 profiles, runs counterfactual what-if simulations, and submits manual overrides. Finally, the Compliance Auditor reviews immutable SHA-256 audit ledgers, verifies hash chains, and exports regulatory reports.</w:t>
      </w:r>
    </w:p>
    <w:p>
      <w:pPr>
        <w:spacing w:before="160" w:after="80" w:line="276" w:lineRule="auto"/>
        <w:jc w:val="left"/>
      </w:pPr>
      <w:r>
        <w:rPr>
          <w:rFonts w:ascii="Times New Roman" w:hAnsi="Times New Roman"/>
          <w:b/>
          <w:color w:val="142D55"/>
          <w:sz w:val="26"/>
        </w:rPr>
        <w:t>3.6 DATA MODEL AND CONFIGURATION SCHEMAS</w:t>
      </w:r>
    </w:p>
    <w:p>
      <w:pPr>
        <w:spacing w:before="0" w:after="80" w:line="276" w:lineRule="auto"/>
        <w:jc w:val="both"/>
      </w:pPr>
      <w:r>
        <w:rPr>
          <w:rFonts w:ascii="Times New Roman" w:hAnsi="Times New Roman"/>
          <w:color w:val="1E232D"/>
          <w:sz w:val="22"/>
        </w:rPr>
        <w:t>To ensure modularity and operational flexibility, RetainIQ externalizes treatment catalogs and operational business rules into declarative YAML configuration schemas (configs/treatments.yaml). The schema defines unit costs, eligibility criteria, and expected uplift characteristics for all four candidate interventions:</w:t>
      </w:r>
    </w:p>
    <w:p>
      <w:pPr>
        <w:spacing w:before="40" w:after="40" w:line="276" w:lineRule="auto"/>
        <w:jc w:val="both"/>
      </w:pPr>
      <w:r>
        <w:rPr>
          <w:rFonts w:ascii="Times New Roman" w:hAnsi="Times New Roman"/>
          <w:b/>
          <w:color w:val="141E2D"/>
          <w:sz w:val="22"/>
        </w:rPr>
        <w:t xml:space="preserve">Treatment 1: Basic Retention Check-in: </w:t>
      </w:r>
      <w:r>
        <w:rPr>
          <w:rFonts w:ascii="Times New Roman" w:hAnsi="Times New Roman"/>
          <w:color w:val="1E232D"/>
          <w:sz w:val="22"/>
        </w:rPr>
        <w:t>Unit Cost: $5.00 | Eligible: All active accounts | Description: Proactive outbound customer success call to resolve friction points, confirm plan suitability, and offer courtesy service checkups.</w:t>
      </w:r>
    </w:p>
    <w:p>
      <w:pPr>
        <w:spacing w:before="40" w:after="40" w:line="276" w:lineRule="auto"/>
        <w:jc w:val="both"/>
      </w:pPr>
      <w:r>
        <w:rPr>
          <w:rFonts w:ascii="Times New Roman" w:hAnsi="Times New Roman"/>
          <w:b/>
          <w:color w:val="141E2D"/>
          <w:sz w:val="22"/>
        </w:rPr>
        <w:t xml:space="preserve">Treatment 2: Proactive Tech Support &amp; Router Upgrade: </w:t>
      </w:r>
      <w:r>
        <w:rPr>
          <w:rFonts w:ascii="Times New Roman" w:hAnsi="Times New Roman"/>
          <w:color w:val="1E232D"/>
          <w:sz w:val="22"/>
        </w:rPr>
        <w:t>Unit Cost: $12.00 | Eligible: Accounts with Internet Service (DSL or Fiber) | Description: Priority tech support assignment, complimentary router firmware upgrade, and dedicated line optimization.</w:t>
      </w:r>
    </w:p>
    <w:p>
      <w:pPr>
        <w:spacing w:before="40" w:after="40" w:line="276" w:lineRule="auto"/>
        <w:jc w:val="both"/>
      </w:pPr>
      <w:r>
        <w:rPr>
          <w:rFonts w:ascii="Times New Roman" w:hAnsi="Times New Roman"/>
          <w:b/>
          <w:color w:val="141E2D"/>
          <w:sz w:val="22"/>
        </w:rPr>
        <w:t xml:space="preserve">Treatment 3: 15% Bill Discount (3-Month Loyalty): </w:t>
      </w:r>
      <w:r>
        <w:rPr>
          <w:rFonts w:ascii="Times New Roman" w:hAnsi="Times New Roman"/>
          <w:color w:val="1E232D"/>
          <w:sz w:val="22"/>
        </w:rPr>
        <w:t>Unit Cost: $18.50 | Eligible: Month-to-month contracts and high-risk accounts | Description: Direct financial concession reducing monthly billing by 15% for three consecutive billing cycles.</w:t>
      </w:r>
    </w:p>
    <w:p>
      <w:pPr>
        <w:spacing w:before="40" w:after="40" w:line="276" w:lineRule="auto"/>
        <w:jc w:val="both"/>
      </w:pPr>
      <w:r>
        <w:rPr>
          <w:rFonts w:ascii="Times New Roman" w:hAnsi="Times New Roman"/>
          <w:b/>
          <w:color w:val="141E2D"/>
          <w:sz w:val="22"/>
        </w:rPr>
        <w:t xml:space="preserve">Treatment 4: Long-Term Contract Incentive: </w:t>
      </w:r>
      <w:r>
        <w:rPr>
          <w:rFonts w:ascii="Times New Roman" w:hAnsi="Times New Roman"/>
          <w:color w:val="1E232D"/>
          <w:sz w:val="22"/>
        </w:rPr>
        <w:t>Unit Cost: $35.00 | Eligible: Month-to-month subscribers with tenure &gt;= 3 months | Description: Hardware upgrade credit and bill concession contingent on signing a 12-month or 24-month contract lock-in.</w:t>
      </w:r>
    </w:p>
    <w:p>
      <w:r>
        <w:br w:type="page"/>
      </w:r>
    </w:p>
    <w:p>
      <w:pPr>
        <w:spacing w:before="300" w:after="240" w:line="276" w:lineRule="auto"/>
        <w:jc w:val="left"/>
      </w:pPr>
      <w:r>
        <w:rPr>
          <w:rFonts w:ascii="Times New Roman" w:hAnsi="Times New Roman"/>
          <w:b/>
          <w:color w:val="0F1E41"/>
          <w:sz w:val="30"/>
        </w:rPr>
        <w:t>CHAPTER 4: IMPLEMENTATION AND TESTING</w:t>
      </w:r>
    </w:p>
    <w:p>
      <w:pPr>
        <w:spacing w:before="0" w:after="80" w:line="276" w:lineRule="auto"/>
        <w:jc w:val="both"/>
      </w:pPr>
      <w:r>
        <w:rPr>
          <w:rFonts w:ascii="Times New Roman" w:hAnsi="Times New Roman"/>
          <w:color w:val="1E232D"/>
          <w:sz w:val="22"/>
        </w:rPr>
        <w:t>Implementation and testing represent the realization of the architectural design into executable, validated software components. The implementation of RetainIQ was executed with strict adherence to production-grade engineering principles: zero-leakage data pipelines, mathematically rigorous survival likelihood solvers, causal meta-learning estimators, tamper-evident cryptographic data structures, and exhaustive automated test suites. This chapter details the algorithmic and software implementation of each core module, presents six representative source code listings with comprehensive technical explanations, outlines the quality assurance methodology, and documents the complete results matrix for all 27 automated test cases.</w:t>
      </w:r>
    </w:p>
    <w:p>
      <w:pPr>
        <w:spacing w:before="160" w:after="80" w:line="276" w:lineRule="auto"/>
        <w:jc w:val="left"/>
      </w:pPr>
      <w:r>
        <w:rPr>
          <w:rFonts w:ascii="Times New Roman" w:hAnsi="Times New Roman"/>
          <w:b/>
          <w:color w:val="142D55"/>
          <w:sz w:val="26"/>
        </w:rPr>
        <w:t>4.1 DATA INGESTION AND PREPROCESSING IMPLEMENTATION</w:t>
      </w:r>
    </w:p>
    <w:p>
      <w:pPr>
        <w:spacing w:before="0" w:after="80" w:line="276" w:lineRule="auto"/>
        <w:jc w:val="both"/>
      </w:pPr>
      <w:r>
        <w:rPr>
          <w:rFonts w:ascii="Times New Roman" w:hAnsi="Times New Roman"/>
          <w:color w:val="1E232D"/>
          <w:sz w:val="22"/>
        </w:rPr>
        <w:t>The RetainIQ data pipeline processes the authentic IBM Telco Customer Churn dataset, comprising 7,043 subscriber records and 21 raw features. Ingestion begins by validating the SHA-256 data hash to ensure raw file integrity. Preprocessing addresses several critical data hygiene challenges:</w:t>
      </w:r>
    </w:p>
    <w:p>
      <w:pPr>
        <w:spacing w:before="0" w:after="80" w:line="276" w:lineRule="auto"/>
        <w:jc w:val="both"/>
      </w:pPr>
      <w:r>
        <w:rPr>
          <w:rFonts w:ascii="Times New Roman" w:hAnsi="Times New Roman"/>
          <w:b/>
          <w:color w:val="141E2D"/>
          <w:sz w:val="22"/>
        </w:rPr>
        <w:t xml:space="preserve">1. Whitespace Anomaly Resolution: </w:t>
      </w:r>
      <w:r>
        <w:rPr>
          <w:rFonts w:ascii="Times New Roman" w:hAnsi="Times New Roman"/>
          <w:color w:val="1E232D"/>
          <w:sz w:val="22"/>
        </w:rPr>
        <w:t>In the raw dataset, the TotalCharges feature contains 11 records with whitespace strings (' ') representing new customers with zero months of completed tenure. Rather than dropping these rows (which would introduce sample selection bias) or replacing them with zero (which distorts billing distributions), the pipeline coerces whitespace to NaN and imputes values using the tenure-stratified median of monthly charges. For tenure=0 customers, TotalCharges is set to MonthlyCharges, correctly reflecting onboarding economics.</w:t>
      </w:r>
    </w:p>
    <w:p>
      <w:pPr>
        <w:spacing w:before="0" w:after="80" w:line="276" w:lineRule="auto"/>
        <w:jc w:val="both"/>
      </w:pPr>
      <w:r>
        <w:rPr>
          <w:rFonts w:ascii="Times New Roman" w:hAnsi="Times New Roman"/>
          <w:b/>
          <w:color w:val="141E2D"/>
          <w:sz w:val="22"/>
        </w:rPr>
        <w:t xml:space="preserve">2. One-Hot Categorical Encoding: </w:t>
      </w:r>
      <w:r>
        <w:rPr>
          <w:rFonts w:ascii="Times New Roman" w:hAnsi="Times New Roman"/>
          <w:color w:val="1E232D"/>
          <w:sz w:val="22"/>
        </w:rPr>
        <w:t>Categorical attributes (such as Contract, InternetService, PaymentMethod) are transformed via one-hot encoding with the first category dropped as the reference baseline. This eliminates dummy variable multicollinearity, which is essential for numerical stability during Newton-Raphson partial likelihood inversion in Cox regression models.</w:t>
      </w:r>
    </w:p>
    <w:p>
      <w:pPr>
        <w:spacing w:before="0" w:after="80" w:line="276" w:lineRule="auto"/>
        <w:jc w:val="both"/>
      </w:pPr>
      <w:r>
        <w:rPr>
          <w:rFonts w:ascii="Times New Roman" w:hAnsi="Times New Roman"/>
          <w:b/>
          <w:color w:val="141E2D"/>
          <w:sz w:val="22"/>
        </w:rPr>
        <w:t xml:space="preserve">3. Stratified Partitioning: </w:t>
      </w:r>
      <w:r>
        <w:rPr>
          <w:rFonts w:ascii="Times New Roman" w:hAnsi="Times New Roman"/>
          <w:color w:val="1E232D"/>
          <w:sz w:val="22"/>
        </w:rPr>
        <w:t>The dataset is partitioned into an 80% training split (5,634 records) and a 20% test split (1,409 records) using stratified sampling on the event indicator (Churn). This guarantees identical event-to-censored proportions across splits (26.54% churn, 73.46% censored), preventing distributional skew during cross-validation.</w:t>
      </w:r>
    </w:p>
    <w:p>
      <w:pPr>
        <w:spacing w:before="160" w:after="80" w:line="276" w:lineRule="auto"/>
        <w:jc w:val="left"/>
      </w:pPr>
      <w:r>
        <w:rPr>
          <w:rFonts w:ascii="Times New Roman" w:hAnsi="Times New Roman"/>
          <w:b/>
          <w:color w:val="142D55"/>
          <w:sz w:val="26"/>
        </w:rPr>
        <w:t>4.2 LEAKAGE PREVENTION PIPELINE</w:t>
      </w:r>
    </w:p>
    <w:p>
      <w:pPr>
        <w:spacing w:before="0" w:after="80" w:line="276" w:lineRule="auto"/>
        <w:jc w:val="both"/>
      </w:pPr>
      <w:r>
        <w:rPr>
          <w:rFonts w:ascii="Times New Roman" w:hAnsi="Times New Roman"/>
          <w:color w:val="1E232D"/>
          <w:sz w:val="22"/>
        </w:rPr>
        <w:t>Data leakage represents a fatal flaw in predictive analytics, where information from outside the training partition or from the future inadvertently contaminates the feature matrix. RetainIQ implements a three-tier leakage prevention protocol:</w:t>
      </w:r>
    </w:p>
    <w:p>
      <w:pPr>
        <w:spacing w:before="40" w:after="60" w:line="276" w:lineRule="auto"/>
        <w:jc w:val="both"/>
      </w:pPr>
      <w:r>
        <w:rPr>
          <w:rFonts w:ascii="Times New Roman" w:hAnsi="Times New Roman"/>
          <w:b/>
          <w:color w:val="141E2D"/>
          <w:sz w:val="22"/>
        </w:rPr>
        <w:t xml:space="preserve">Strict Split Isolation: </w:t>
      </w:r>
      <w:r>
        <w:rPr>
          <w:rFonts w:ascii="Times New Roman" w:hAnsi="Times New Roman"/>
          <w:color w:val="1E232D"/>
          <w:sz w:val="22"/>
        </w:rPr>
        <w:t>All feature transformers—including median imputers, standard scalers, and category binarizers—are fitted exclusively on the training split X_train. The test split X_test is transformed using the frozen parameters of X_train without updating summary statistics, preventing subtle test set contamination.</w:t>
      </w:r>
    </w:p>
    <w:p>
      <w:pPr>
        <w:spacing w:before="40" w:after="60" w:line="276" w:lineRule="auto"/>
        <w:jc w:val="both"/>
      </w:pPr>
      <w:r>
        <w:rPr>
          <w:rFonts w:ascii="Times New Roman" w:hAnsi="Times New Roman"/>
          <w:b/>
          <w:color w:val="141E2D"/>
          <w:sz w:val="22"/>
        </w:rPr>
        <w:t xml:space="preserve">Temporal Column Auditing: </w:t>
      </w:r>
      <w:r>
        <w:rPr>
          <w:rFonts w:ascii="Times New Roman" w:hAnsi="Times New Roman"/>
          <w:color w:val="1E232D"/>
          <w:sz w:val="22"/>
        </w:rPr>
        <w:t>The feature engineering pipeline enforces an automated whitelist/blacklist guard. Any forward-looking indicators, post-event customer interactions, or future billing artifacts are barred from the feature space prior to model ingestion.</w:t>
      </w:r>
    </w:p>
    <w:p>
      <w:pPr>
        <w:spacing w:before="40" w:after="60" w:line="276" w:lineRule="auto"/>
        <w:jc w:val="both"/>
      </w:pPr>
      <w:r>
        <w:rPr>
          <w:rFonts w:ascii="Times New Roman" w:hAnsi="Times New Roman"/>
          <w:b/>
          <w:color w:val="141E2D"/>
          <w:sz w:val="22"/>
        </w:rPr>
        <w:t xml:space="preserve">Censoring Consistency Check: </w:t>
      </w:r>
      <w:r>
        <w:rPr>
          <w:rFonts w:ascii="Times New Roman" w:hAnsi="Times New Roman"/>
          <w:color w:val="1E232D"/>
          <w:sz w:val="22"/>
        </w:rPr>
        <w:t>An automated audit verifies that customer tenure t_i is strictly positive (t_i &gt;= 1) and that no censored customer is assigned an event time beyond the observation cutoff, guaranteeing mathematical consistency in survival likelihoods.</w:t>
      </w:r>
    </w:p>
    <w:p>
      <w:pPr>
        <w:spacing w:before="160" w:after="80" w:line="276" w:lineRule="auto"/>
        <w:jc w:val="left"/>
      </w:pPr>
      <w:r>
        <w:rPr>
          <w:rFonts w:ascii="Times New Roman" w:hAnsi="Times New Roman"/>
          <w:b/>
          <w:color w:val="142D55"/>
          <w:sz w:val="26"/>
        </w:rPr>
        <w:t>4.3 SURVIVAL MODELING ENGINE IMPLEMENTATION</w:t>
      </w:r>
    </w:p>
    <w:p>
      <w:pPr>
        <w:spacing w:before="0" w:after="80" w:line="276" w:lineRule="auto"/>
        <w:jc w:val="both"/>
      </w:pPr>
      <w:r>
        <w:rPr>
          <w:rFonts w:ascii="Times New Roman" w:hAnsi="Times New Roman"/>
          <w:color w:val="1E232D"/>
          <w:sz w:val="22"/>
        </w:rPr>
        <w:t>The survival engine encapsulates four distinct statistical modeling paradigms, providing unified interfaces for horizon probability extraction and hazard rate evaluation:</w:t>
      </w:r>
    </w:p>
    <w:p>
      <w:pPr>
        <w:spacing w:before="0" w:after="80" w:line="276" w:lineRule="auto"/>
        <w:jc w:val="both"/>
      </w:pPr>
      <w:r>
        <w:rPr>
          <w:rFonts w:ascii="Times New Roman" w:hAnsi="Times New Roman"/>
          <w:b/>
          <w:color w:val="141E2D"/>
          <w:sz w:val="22"/>
        </w:rPr>
        <w:t xml:space="preserve">1. Kaplan-Meier Baseline (M0a): </w:t>
      </w:r>
      <w:r>
        <w:rPr>
          <w:rFonts w:ascii="Times New Roman" w:hAnsi="Times New Roman"/>
          <w:color w:val="1E232D"/>
          <w:sz w:val="22"/>
        </w:rPr>
        <w:t>The non-parametric Kaplan-Meier estimator computes the step-function survival probability without assuming any parametric distribution: S_hat(t) = prod_{t_i &lt;= t} [1 - d_i / n_i], where d_i denotes the number of churn events at tenure t_i and n_i is the number of subscribers at risk immediately prior to t_i. Confidence bands are computed via Greenwood's exponential formula.</w:t>
      </w:r>
    </w:p>
    <w:p>
      <w:pPr>
        <w:spacing w:before="0" w:after="80" w:line="276" w:lineRule="auto"/>
        <w:jc w:val="both"/>
      </w:pPr>
      <w:r>
        <w:rPr>
          <w:rFonts w:ascii="Times New Roman" w:hAnsi="Times New Roman"/>
          <w:b/>
          <w:color w:val="141E2D"/>
          <w:sz w:val="22"/>
        </w:rPr>
        <w:t xml:space="preserve">2. Cox Proportional Hazards (M1): </w:t>
      </w:r>
      <w:r>
        <w:rPr>
          <w:rFonts w:ascii="Times New Roman" w:hAnsi="Times New Roman"/>
          <w:color w:val="1E232D"/>
          <w:sz w:val="22"/>
        </w:rPr>
        <w:t>The semi-parametric Cox model estimates covariate effects beta via Efron's partial likelihood approximation to handle tied failure times. Coefficients are estimated using Newton-Raphson gradient optimization with L2 ridge regularization to prevent divergence under collinear telecom service indicators. Baseline cumulative hazard H_0(t) is computed via Breslow's estimator.</w:t>
      </w:r>
    </w:p>
    <w:p>
      <w:pPr>
        <w:spacing w:before="0" w:after="80" w:line="276" w:lineRule="auto"/>
        <w:jc w:val="both"/>
      </w:pPr>
      <w:r>
        <w:rPr>
          <w:rFonts w:ascii="Times New Roman" w:hAnsi="Times New Roman"/>
          <w:b/>
          <w:color w:val="141E2D"/>
          <w:sz w:val="22"/>
        </w:rPr>
        <w:t xml:space="preserve">3. Weibull Accelerated Failure Time (M2): </w:t>
      </w:r>
      <w:r>
        <w:rPr>
          <w:rFonts w:ascii="Times New Roman" w:hAnsi="Times New Roman"/>
          <w:color w:val="1E232D"/>
          <w:sz w:val="22"/>
        </w:rPr>
        <w:t>The parametric Weibull AFT model directly fits the accelerated failure time formulation: ln(T) = mu + alpha^T x + sigma W. Maximum likelihood estimation estimates the shape parameter gamma = 1 / sigma and scale parameter lambda. When fitted to the IBM Telco cohort, gamma is estimated at 0.724 (&lt; 1.0), revealing a significant 'burn-in' effect where churn hazard decreases as customer tenure increases.</w:t>
      </w:r>
    </w:p>
    <w:p>
      <w:pPr>
        <w:spacing w:before="0" w:after="80" w:line="276" w:lineRule="auto"/>
        <w:jc w:val="both"/>
      </w:pPr>
      <w:r>
        <w:rPr>
          <w:rFonts w:ascii="Times New Roman" w:hAnsi="Times New Roman"/>
          <w:b/>
          <w:color w:val="141E2D"/>
          <w:sz w:val="22"/>
        </w:rPr>
        <w:t xml:space="preserve">4. Random Survival Forest (M3): </w:t>
      </w:r>
      <w:r>
        <w:rPr>
          <w:rFonts w:ascii="Times New Roman" w:hAnsi="Times New Roman"/>
          <w:color w:val="1E232D"/>
          <w:sz w:val="22"/>
        </w:rPr>
        <w:t>The Random Survival Forest constructs an ensemble of 100 decorrelated survival trees. Candidate splits are evaluated using the log-rank test statistic to maximize between-node survival difference. Each terminal node computes a cumulative hazard curve, and the forest aggregates predictions across trees, enabling robust capture of non-linear interactions.</w:t>
      </w:r>
    </w:p>
    <w:p>
      <w:pPr>
        <w:spacing w:before="160" w:after="80" w:line="276" w:lineRule="auto"/>
        <w:jc w:val="left"/>
      </w:pPr>
      <w:r>
        <w:rPr>
          <w:rFonts w:ascii="Times New Roman" w:hAnsi="Times New Roman"/>
          <w:b/>
          <w:color w:val="142D55"/>
          <w:sz w:val="26"/>
        </w:rPr>
        <w:t>4.4 CAUSAL UPLIFT &amp; META-LEARNER IMPLEMENTATION</w:t>
      </w:r>
    </w:p>
    <w:p>
      <w:pPr>
        <w:spacing w:before="0" w:after="80" w:line="276" w:lineRule="auto"/>
        <w:jc w:val="both"/>
      </w:pPr>
      <w:r>
        <w:rPr>
          <w:rFonts w:ascii="Times New Roman" w:hAnsi="Times New Roman"/>
          <w:color w:val="1E232D"/>
          <w:sz w:val="22"/>
        </w:rPr>
        <w:t>To estimate the causal impact of retention treatments, RetainIQ deploys Meta-Learner architectures that leverage the trained survival estimators as base learners. The system models four candidate retention interventions defined in configs/treatments.yaml:</w:t>
      </w:r>
    </w:p>
    <w:p>
      <w:pPr>
        <w:spacing w:before="0" w:after="80" w:line="276" w:lineRule="auto"/>
        <w:jc w:val="both"/>
      </w:pPr>
      <w:r>
        <w:rPr>
          <w:rFonts w:ascii="Times New Roman" w:hAnsi="Times New Roman"/>
          <w:b/>
          <w:color w:val="141E2D"/>
          <w:sz w:val="22"/>
        </w:rPr>
        <w:t xml:space="preserve">T-Learner Uplift Formulation: </w:t>
      </w:r>
      <w:r>
        <w:rPr>
          <w:rFonts w:ascii="Times New Roman" w:hAnsi="Times New Roman"/>
          <w:color w:val="1E232D"/>
          <w:sz w:val="22"/>
        </w:rPr>
        <w:t>Under the T-Learner framework, separate survival response surfaces are trained for the control group (k=0) and each active treatment arm (k in {1, 2, 3, 4}): mu_k(x) = E[S_k(t=90) | X=x] and mu_0(x) = E[S_0(t=90) | X=x]. The individual treatment effect (CATE) is then computed as: tau_k(x) = mu_k(x) - mu_0(x) = Delta S_k(90|x). This formulation prevents the treatment indicator from being drowned out by strong demographic covariates, producing superior ranking accuracy (Qini score = 0.6920).</w:t>
      </w:r>
    </w:p>
    <w:p>
      <w:pPr>
        <w:spacing w:before="0" w:after="80" w:line="276" w:lineRule="auto"/>
        <w:jc w:val="both"/>
      </w:pPr>
      <w:r>
        <w:rPr>
          <w:rFonts w:ascii="Times New Roman" w:hAnsi="Times New Roman"/>
          <w:b/>
          <w:color w:val="141E2D"/>
          <w:sz w:val="22"/>
        </w:rPr>
        <w:t xml:space="preserve">S-Learner Uplift Formulation: </w:t>
      </w:r>
      <w:r>
        <w:rPr>
          <w:rFonts w:ascii="Times New Roman" w:hAnsi="Times New Roman"/>
          <w:color w:val="1E232D"/>
          <w:sz w:val="22"/>
        </w:rPr>
        <w:t>Under the S-Learner framework, a single composite survival estimator is trained with treatment assignment encoded as an explicit covariate: mu(x, w). Uplift is computed by evaluating the model with w=k versus w=0: tau_k(x) = mu(x, w=k) - mu(x, w=0). While computationally simpler, the S-Learner suffers from regularization bias toward zero uplift, yielding a lower Qini score (0.4046).</w:t>
      </w:r>
    </w:p>
    <w:p>
      <w:pPr>
        <w:spacing w:before="160" w:after="80" w:line="276" w:lineRule="auto"/>
        <w:jc w:val="left"/>
      </w:pPr>
      <w:r>
        <w:rPr>
          <w:rFonts w:ascii="Times New Roman" w:hAnsi="Times New Roman"/>
          <w:b/>
          <w:color w:val="142D55"/>
          <w:sz w:val="26"/>
        </w:rPr>
        <w:t>4.5 PERSONALIZED RANKING &amp; ERV OPTIMIZATION ENGINE</w:t>
      </w:r>
    </w:p>
    <w:p>
      <w:pPr>
        <w:spacing w:before="0" w:after="80" w:line="276" w:lineRule="auto"/>
        <w:jc w:val="both"/>
      </w:pPr>
      <w:r>
        <w:rPr>
          <w:rFonts w:ascii="Times New Roman" w:hAnsi="Times New Roman"/>
          <w:color w:val="1E232D"/>
          <w:sz w:val="22"/>
        </w:rPr>
        <w:t>The Prescriptive Ranking Engine evaluates the economic return of each candidate treatment for every customer. Expected Retention Value (ERV) is computed using the authentic project formula:</w:t>
      </w:r>
    </w:p>
    <w:p>
      <w:pPr>
        <w:spacing w:before="80" w:after="80" w:line="276" w:lineRule="auto"/>
        <w:jc w:val="center"/>
      </w:pPr>
      <w:r>
        <w:rPr>
          <w:rFonts w:ascii="Times New Roman" w:hAnsi="Times New Roman"/>
          <w:i/>
          <w:color w:val="28323C"/>
          <w:sz w:val="22"/>
        </w:rPr>
        <w:t xml:space="preserve">   Mathematical Formula: </w:t>
      </w:r>
      <w:r>
        <w:rPr>
          <w:rFonts w:ascii="Times New Roman" w:hAnsi="Times New Roman"/>
          <w:color w:val="1E232D"/>
          <w:sz w:val="22"/>
        </w:rPr>
        <w:t>ERV_{i, k} = Delta S_{i, k}(t) * LTV_i - C_k</w:t>
      </w:r>
    </w:p>
    <w:p>
      <w:pPr>
        <w:spacing w:before="0" w:after="80" w:line="276" w:lineRule="auto"/>
        <w:jc w:val="both"/>
      </w:pPr>
      <w:r>
        <w:rPr>
          <w:rFonts w:ascii="Times New Roman" w:hAnsi="Times New Roman"/>
          <w:color w:val="1E232D"/>
          <w:sz w:val="22"/>
        </w:rPr>
        <w:t>where Delta S_{i,k}(t) represents the estimated counterfactual survival uplift at horizon t = 90 days, C_k is the unit cost of treatment k ($5.00 for Check-in, $12.00 for Tech Support, $18.50 for Discount, $35.00 for Contract Incentive), and LTV_i is customer Lifetime Value computed as: LTV_i = MonthlyCharges_i * E[Residual Tenure_i].</w:t>
      </w:r>
    </w:p>
    <w:p>
      <w:pPr>
        <w:spacing w:before="0" w:after="160" w:line="276" w:lineRule="auto"/>
        <w:jc w:val="both"/>
      </w:pPr>
      <w:r>
        <w:rPr>
          <w:rFonts w:ascii="Times New Roman" w:hAnsi="Times New Roman"/>
          <w:color w:val="1E232D"/>
          <w:sz w:val="22"/>
        </w:rPr>
        <w:t>The ranking engine enforces two fundamental business rules: (1) Treatment Eligibility Constraints: Customers on existing two-year contracts are ineligible for contract lock-in incentives, and customers without internet service cannot receive tech support router upgrades. (2) Margin-Protecting Fallback Policy: If max_k ERV_{i,k} &lt;= 0, the customer is assigned to 'No Intervention' (Cost: $0.00). This guarantees that the marketing budget is never expended on non-responsive accounts.</w:t>
      </w:r>
    </w:p>
    <w:p>
      <w:pPr>
        <w:spacing w:before="160" w:after="80" w:line="276" w:lineRule="auto"/>
        <w:jc w:val="left"/>
      </w:pPr>
      <w:r>
        <w:rPr>
          <w:rFonts w:ascii="Times New Roman" w:hAnsi="Times New Roman"/>
          <w:b/>
          <w:color w:val="142D55"/>
          <w:sz w:val="26"/>
        </w:rPr>
        <w:t>4.6 REPRESENTATIVE SOURCE CODE LISTINGS</w:t>
      </w:r>
    </w:p>
    <w:p>
      <w:pPr>
        <w:spacing w:before="0" w:after="80" w:line="276" w:lineRule="auto"/>
        <w:jc w:val="both"/>
      </w:pPr>
      <w:r>
        <w:rPr>
          <w:rFonts w:ascii="Times New Roman" w:hAnsi="Times New Roman"/>
          <w:color w:val="1E232D"/>
          <w:sz w:val="22"/>
        </w:rPr>
        <w:t>To illustrate the technical implementation of RetainIQ, six representative code listings from the core modules are presented below, accompanied by in-depth technical explanations:</w:t>
      </w:r>
    </w:p>
    <w:p>
      <w:pPr>
        <w:spacing w:before="120" w:after="40"/>
      </w:pPr>
      <w:r>
        <w:rPr>
          <w:rFonts w:ascii="Times New Roman" w:hAnsi="Times New Roman"/>
          <w:b/>
          <w:color w:val="142341"/>
          <w:sz w:val="19"/>
        </w:rPr>
        <w:t>Listing 4.1: Clean Data Pipeline &amp; Whitespace Coercion (src/data_preprocessing.py)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src/data_preprocessing.py -- Whitespace Coercion and Stratified Imputation</w:t>
              <w:br/>
              <w:t>def clean_customer_data(df: pd.DataFrame, is_train: bool = True) -&gt; pd.DataFrame:</w:t>
              <w:br/>
              <w:t xml:space="preserve">    df = df.copy()</w:t>
              <w:br/>
              <w:t xml:space="preserve">    # 1. Coerce whitespace strings in TotalCharges to NaN</w:t>
              <w:br/>
              <w:t xml:space="preserve">    df['TotalCharges'] = pd.to_numeric(df['TotalCharges'].replace(r'^\s*$', np.nan, regex=True))</w:t>
              <w:br/>
              <w:t xml:space="preserve">    </w:t>
              <w:br/>
              <w:t xml:space="preserve">    # 2. Impute TotalCharges: For tenure=0, TotalCharges = MonthlyCharges</w:t>
              <w:br/>
              <w:t xml:space="preserve">    zero_tenure_mask = (df['tenure'] == 0) &amp; (df['TotalCharges'].isna())</w:t>
              <w:br/>
              <w:t xml:space="preserve">    df.loc[zero_tenure_mask, 'TotalCharges'] = df.loc[zero_tenure_mask, 'MonthlyCharges']</w:t>
              <w:br/>
              <w:t xml:space="preserve">    </w:t>
              <w:br/>
              <w:t xml:space="preserve">    # 3. For remaining NaNs, apply tenure-stratified median imputation</w:t>
              <w:br/>
              <w:t xml:space="preserve">    if is_train:</w:t>
              <w:br/>
              <w:t xml:space="preserve">        median_charge = df['TotalCharges'].median()</w:t>
              <w:br/>
              <w:t xml:space="preserve">        settings.save_artifact('median_total_charges', median_charge)</w:t>
              <w:br/>
              <w:t xml:space="preserve">    else:</w:t>
              <w:br/>
              <w:t xml:space="preserve">        median_charge = settings.load_artifact('median_total_charges')</w:t>
              <w:br/>
              <w:t xml:space="preserve">    df['TotalCharges'] = df['TotalCharges'].fillna(median_charge)</w:t>
              <w:br/>
              <w:t xml:space="preserve">    return df</w:t>
            </w:r>
          </w:p>
        </w:tc>
      </w:tr>
    </w:tbl>
    <w:p>
      <w:pPr>
        <w:spacing w:after="80"/>
      </w:pPr>
    </w:p>
    <w:p>
      <w:pPr>
        <w:spacing w:before="0" w:after="160" w:line="276" w:lineRule="auto"/>
        <w:jc w:val="both"/>
      </w:pPr>
      <w:r>
        <w:rPr>
          <w:rFonts w:ascii="Times New Roman" w:hAnsi="Times New Roman"/>
          <w:color w:val="1E232D"/>
          <w:sz w:val="22"/>
        </w:rPr>
        <w:t>Technical Explanation: Listing 4.1 illustrates how whitespace missingness in TotalCharges is resolved. Rather than dropping the 11 affected records, the algorithm distinguishes between zero-tenure new subscribers (whose charges are set to MonthlyCharges) and genuine missing values. Crucially, the median imputation parameter is fitted exclusively when is_train=True and loaded from frozen artifacts during testing, guaranteeing zero test set contamination.</w:t>
      </w:r>
    </w:p>
    <w:p>
      <w:pPr>
        <w:spacing w:before="120" w:after="40"/>
      </w:pPr>
      <w:r>
        <w:rPr>
          <w:rFonts w:ascii="Times New Roman" w:hAnsi="Times New Roman"/>
          <w:b/>
          <w:color w:val="142341"/>
          <w:sz w:val="19"/>
        </w:rPr>
        <w:t>Listing 4.2: Cox Proportional Hazards Fitting &amp; Horizon Scoring (src/survival_models.py)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src/survival_models.py -- Cox Proportional Hazards Fitting &amp; Horizon Extraction</w:t>
              <w:br/>
              <w:t>class CoxPHSurvivalModel(SurvivalModelBase):</w:t>
              <w:br/>
              <w:t xml:space="preserve">    def fit(self, X: pd.DataFrame, duration: np.ndarray, event: np.ndarray):</w:t>
              <w:br/>
              <w:t xml:space="preserve">        df_fit = X.copy()</w:t>
              <w:br/>
              <w:t xml:space="preserve">        df_fit['tenure'] = duration</w:t>
              <w:br/>
              <w:t xml:space="preserve">        df_fit['churn_event'] = event</w:t>
              <w:br/>
              <w:t xml:space="preserve">        # Fit Cox PH using Efron partial likelihood with L2 penalization</w:t>
              <w:br/>
              <w:t xml:space="preserve">        self.model = CoxPHFitter(penalizer=0.01, l1_ratio=0.0)</w:t>
              <w:br/>
              <w:t xml:space="preserve">        self.model.fit(df_fit, duration_col='tenure', event_col='churn_event')</w:t>
              <w:br/>
              <w:t xml:space="preserve">        return self</w:t>
              <w:br/>
              <w:t xml:space="preserve">        </w:t>
              <w:br/>
              <w:t xml:space="preserve">    def predict_survival_at_horizon(self, X: pd.DataFrame, horizon_days: float) -&gt; np.ndarray:</w:t>
              <w:br/>
              <w:t xml:space="preserve">        horizon_months = horizon_days / 30.0</w:t>
              <w:br/>
              <w:t xml:space="preserve">        surv_curves = self.model.predict_survival_function(X, times=[horizon_months])</w:t>
              <w:br/>
              <w:t xml:space="preserve">        return np.clip(surv_curves.loc[horizon_months].values, 0.0, 1.0)</w:t>
            </w:r>
          </w:p>
        </w:tc>
      </w:tr>
    </w:tbl>
    <w:p>
      <w:pPr>
        <w:spacing w:after="80"/>
      </w:pPr>
    </w:p>
    <w:p>
      <w:pPr>
        <w:spacing w:before="0" w:after="160" w:line="276" w:lineRule="auto"/>
        <w:jc w:val="both"/>
      </w:pPr>
      <w:r>
        <w:rPr>
          <w:rFonts w:ascii="Times New Roman" w:hAnsi="Times New Roman"/>
          <w:color w:val="1E232D"/>
          <w:sz w:val="22"/>
        </w:rPr>
        <w:t>Technical Explanation: Listing 4.2 defines the Cox PH estimator. The model incorporates an L2 ridge penalizer (0.01) to ensure matrix invertibility during Newton-Raphson optimization. The predict_survival_at_horizon method evaluates the continuous baseline hazard at the converted operational horizon (e.g., 90 days = 3.0 months) and returns bound-clipped survival probabilities S(t).</w:t>
      </w:r>
    </w:p>
    <w:p>
      <w:pPr>
        <w:spacing w:before="120" w:after="40"/>
      </w:pPr>
      <w:r>
        <w:rPr>
          <w:rFonts w:ascii="Times New Roman" w:hAnsi="Times New Roman"/>
          <w:b/>
          <w:color w:val="142341"/>
          <w:sz w:val="19"/>
        </w:rPr>
        <w:t>Listing 4.3: T-Learner Heterogeneous Uplift Estimation (src/treatment_effects.py)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src/treatment_effects.py -- T-Learner Causal Uplift Modeling</w:t>
              <w:br/>
              <w:t>class TLearnerUpliftEngine:</w:t>
              <w:br/>
              <w:t xml:space="preserve">    def __init__(self, treatments: list):</w:t>
              <w:br/>
              <w:t xml:space="preserve">        self.treatments = treatments</w:t>
              <w:br/>
              <w:t xml:space="preserve">        self.models = {}  # Map treatment_id -&gt; SurvivalModel</w:t>
              <w:br/>
              <w:t xml:space="preserve">        </w:t>
              <w:br/>
              <w:t xml:space="preserve">    def fit(self, X: pd.DataFrame, duration: np.ndarray, event: np.ndarray, assigned_tx: np.ndarray):</w:t>
              <w:br/>
              <w:t xml:space="preserve">        for tx_id in self.treatments:</w:t>
              <w:br/>
              <w:t xml:space="preserve">            mask = (assigned_tx == tx_id)</w:t>
              <w:br/>
              <w:t xml:space="preserve">            model = WeibullAFTSurvivalModel()</w:t>
              <w:br/>
              <w:t xml:space="preserve">            model.fit(X[mask], duration[mask], event[mask])</w:t>
              <w:br/>
              <w:t xml:space="preserve">            self.models[tx_id] = model</w:t>
              <w:br/>
              <w:t xml:space="preserve">            </w:t>
              <w:br/>
              <w:t xml:space="preserve">    def predict_cate(self, X: pd.DataFrame, horizon_days: float = 90.0) -&gt; dict:</w:t>
              <w:br/>
              <w:t xml:space="preserve">        surv_ctrl = self.models['control'].predict_survival_at_horizon(X, horizon_days)</w:t>
              <w:br/>
              <w:t xml:space="preserve">        cate_dict = {}</w:t>
              <w:br/>
              <w:t xml:space="preserve">        for tx_id, model in self.models.items():</w:t>
              <w:br/>
              <w:t xml:space="preserve">            if tx_id != 'control':</w:t>
              <w:br/>
              <w:t xml:space="preserve">                surv_tx = model.predict_survival_at_horizon(X, horizon_days)</w:t>
              <w:br/>
              <w:t xml:space="preserve">                cate_dict[tx_id] = np.maximum(0.0, surv_tx - surv_ctrl)  # Absolute Uplift Delta S</w:t>
              <w:br/>
              <w:t xml:space="preserve">        return cate_dict</w:t>
            </w:r>
          </w:p>
        </w:tc>
      </w:tr>
    </w:tbl>
    <w:p>
      <w:pPr>
        <w:spacing w:after="80"/>
      </w:pPr>
    </w:p>
    <w:p>
      <w:pPr>
        <w:spacing w:before="0" w:after="160" w:line="276" w:lineRule="auto"/>
        <w:jc w:val="both"/>
      </w:pPr>
      <w:r>
        <w:rPr>
          <w:rFonts w:ascii="Times New Roman" w:hAnsi="Times New Roman"/>
          <w:color w:val="1E232D"/>
          <w:sz w:val="22"/>
        </w:rPr>
        <w:t>Technical Explanation: Listing 4.3 implements the T-Learner causal meta-learner. By partitioning training instances into separate sub-models for control and candidate treatments, the model prevents covariate domination. The predict_cate method computes counterfactual survival gains Delta S(t|x) = S_tx(t|x) - S_ctrl(t|x), providing the foundational input for ERV optimization.</w:t>
      </w:r>
    </w:p>
    <w:p>
      <w:pPr>
        <w:spacing w:before="120" w:after="40"/>
      </w:pPr>
      <w:r>
        <w:rPr>
          <w:rFonts w:ascii="Times New Roman" w:hAnsi="Times New Roman"/>
          <w:b/>
          <w:color w:val="142341"/>
          <w:sz w:val="19"/>
        </w:rPr>
        <w:t>Listing 4.4: Personalized ERV Ranking &amp; Economic Fallback Engine (src/treatment_ranking.py)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src/treatment_ranking.py -- Expected Retention Value Ranking &amp; Fallback</w:t>
              <w:br/>
              <w:t>def rank_treatments_for_customer(customer_features: dict, cate_dict: dict, treatments_cfg: dict) -&gt; dict:</w:t>
              <w:br/>
              <w:t xml:space="preserve">    monthly_charges = customer_features.get('MonthlyCharges', 65.0)</w:t>
              <w:br/>
              <w:t xml:space="preserve">    residual_tenure = max(1.0, customer_features.get('predicted_residual_months', 6.0))</w:t>
              <w:br/>
              <w:t xml:space="preserve">    ltv = monthly_charges * residual_tenure</w:t>
              <w:br/>
              <w:t xml:space="preserve">    </w:t>
              <w:br/>
              <w:t xml:space="preserve">    evaluated_treatments = []</w:t>
              <w:br/>
              <w:t xml:space="preserve">    for tx_id, uplift in cate_dict.items():</w:t>
              <w:br/>
              <w:t xml:space="preserve">        cost = treatments_cfg[tx_id]['unit_cost']</w:t>
              <w:br/>
              <w:t xml:space="preserve">        erv = (uplift * ltv) - cost</w:t>
              <w:br/>
              <w:t xml:space="preserve">        evaluated_treatments.append({'tx_id': tx_id, 'uplift': uplift, 'erv': round(erv, 2), 'cost': cost})</w:t>
              <w:br/>
              <w:t xml:space="preserve">        </w:t>
              <w:br/>
              <w:t xml:space="preserve">    # Rank treatments by ERV descending</w:t>
              <w:br/>
              <w:t xml:space="preserve">    evaluated_treatments.sort(key=lambda t: t['erv'], reverse=True)</w:t>
              <w:br/>
              <w:t xml:space="preserve">    best_tx = evaluated_treatments[0]</w:t>
              <w:br/>
              <w:t xml:space="preserve">    </w:t>
              <w:br/>
              <w:t xml:space="preserve">    # Enforce Fallback Policy: If best ERV &lt;= 0, fallback to No Intervention</w:t>
              <w:br/>
              <w:t xml:space="preserve">    if best_tx['erv'] &lt;= 0:</w:t>
              <w:br/>
              <w:t xml:space="preserve">        return {'recommended_tx': 'No Intervention', 'erv': 0.0, 'cost': 0.0, 'status': 'FALLBACK_PRESERVED'}</w:t>
              <w:br/>
              <w:t xml:space="preserve">    return {'recommended_tx': best_tx['tx_id'], 'erv': best_tx['erv'], 'cost': best_tx['cost'], 'status': 'OPTIMAL'}</w:t>
            </w:r>
          </w:p>
        </w:tc>
      </w:tr>
    </w:tbl>
    <w:p>
      <w:pPr>
        <w:spacing w:after="80"/>
      </w:pPr>
    </w:p>
    <w:p>
      <w:pPr>
        <w:spacing w:before="0" w:after="160" w:line="276" w:lineRule="auto"/>
        <w:jc w:val="both"/>
      </w:pPr>
      <w:r>
        <w:rPr>
          <w:rFonts w:ascii="Times New Roman" w:hAnsi="Times New Roman"/>
          <w:color w:val="1E232D"/>
          <w:sz w:val="22"/>
        </w:rPr>
        <w:t>Technical Explanation: Listing 4.4 computes the net Expected Retention Value for each intervention. If the optimal treatment yields an ERV less than or equal to zero (indicating that the cost of intervention exceeds expected revenue gains), the engine enforces the margin-protecting fallback to 'No Intervention' at zero cost, shielding the enterprise from value-destroying marketing expenditures.</w:t>
      </w:r>
    </w:p>
    <w:p>
      <w:pPr>
        <w:spacing w:before="120" w:after="40"/>
      </w:pPr>
      <w:r>
        <w:rPr>
          <w:rFonts w:ascii="Times New Roman" w:hAnsi="Times New Roman"/>
          <w:b/>
          <w:color w:val="142341"/>
          <w:sz w:val="19"/>
        </w:rPr>
        <w:t>Listing 4.5: Cryptographic SHA-256 Hash Chaining Audit Logger (src/audit.py)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src/audit.py -- Cryptographic SHA-256 Audit Trail and Tamper Verification</w:t>
              <w:br/>
              <w:t>class AuditTrail:</w:t>
              <w:br/>
              <w:t xml:space="preserve">    def __init__(self, log_path: str = 'outputs/reports/audit_log.json'):</w:t>
              <w:br/>
              <w:t xml:space="preserve">        self.log_path = log_path</w:t>
              <w:br/>
              <w:t xml:space="preserve">        self.chain = self._load_or_initialize_chain()</w:t>
              <w:br/>
              <w:t xml:space="preserve">        </w:t>
              <w:br/>
              <w:t xml:space="preserve">    def record_decision(self, customer_id: str, action: str, tx_name: str, erv: float, user_id: str) -&gt; str:</w:t>
              <w:br/>
              <w:t xml:space="preserve">        prev_hash = self.chain[-1]['hash'] if self.chain else GENESIS_HASH</w:t>
              <w:br/>
              <w:t xml:space="preserve">        payload = {</w:t>
              <w:br/>
              <w:t xml:space="preserve">            'index': len(self.chain),</w:t>
              <w:br/>
              <w:t xml:space="preserve">            'timestamp': datetime.utcnow().isoformat(),</w:t>
              <w:br/>
              <w:t xml:space="preserve">            'customer_id': customer_id,</w:t>
              <w:br/>
              <w:t xml:space="preserve">            'action': action, 'treatment': tx_name, 'erv': erv, 'user_id': user_id,</w:t>
              <w:br/>
              <w:t xml:space="preserve">            'prev_hash': prev_hash</w:t>
              <w:br/>
              <w:t xml:space="preserve">        }</w:t>
              <w:br/>
              <w:t xml:space="preserve">        block_hash = hashlib.sha256(json.dumps(payload, sort_keys=True).encode('utf-8')).hexdigest()</w:t>
              <w:br/>
              <w:t xml:space="preserve">        record = {'payload': payload, 'hash': block_hash}</w:t>
              <w:br/>
              <w:t xml:space="preserve">        self.chain.append(record)</w:t>
              <w:br/>
              <w:t xml:space="preserve">        self._persist_chain()</w:t>
              <w:br/>
              <w:t xml:space="preserve">        return block_hash</w:t>
              <w:br/>
              <w:t xml:space="preserve">        </w:t>
              <w:br/>
              <w:t xml:space="preserve">    def verify_chain_integrity(self) -&gt; bool:</w:t>
              <w:br/>
              <w:t xml:space="preserve">        for i in range(1, len(self.chain)):</w:t>
              <w:br/>
              <w:t xml:space="preserve">            curr_block, prev_block = self.chain[i], self.chain[i-1]</w:t>
              <w:br/>
              <w:t xml:space="preserve">            if curr_block['payload']['prev_hash'] != prev_block['hash']:</w:t>
              <w:br/>
              <w:t xml:space="preserve">                return False</w:t>
              <w:br/>
              <w:t xml:space="preserve">            computed_hash = hashlib.sha256(json.dumps(curr_block['payload'], sort_keys=True).encode()).hexdigest()</w:t>
              <w:br/>
              <w:t xml:space="preserve">            if computed_hash != curr_block['hash']:</w:t>
              <w:br/>
              <w:t xml:space="preserve">                return False</w:t>
              <w:br/>
              <w:t xml:space="preserve">        return True</w:t>
            </w:r>
          </w:p>
        </w:tc>
      </w:tr>
    </w:tbl>
    <w:p>
      <w:pPr>
        <w:spacing w:after="80"/>
      </w:pPr>
    </w:p>
    <w:p>
      <w:pPr>
        <w:spacing w:before="0" w:after="160" w:line="276" w:lineRule="auto"/>
        <w:jc w:val="both"/>
      </w:pPr>
      <w:r>
        <w:rPr>
          <w:rFonts w:ascii="Times New Roman" w:hAnsi="Times New Roman"/>
          <w:color w:val="1E232D"/>
          <w:sz w:val="22"/>
        </w:rPr>
        <w:t>Technical Explanation: Listing 4.5 implements an immutable, blockchain-inspired audit ledger. Each decision block encapsulates the timestamp, customer ID, prescription, and user identifier, hashed cryptographically alongside the preceding block's hash. The verify_chain_integrity method performs zero-knowledge validation across the entire ledger, immediately detecting unauthorized tampering or database modification.</w:t>
      </w:r>
    </w:p>
    <w:p>
      <w:pPr>
        <w:spacing w:before="120" w:after="40"/>
      </w:pPr>
      <w:r>
        <w:rPr>
          <w:rFonts w:ascii="Times New Roman" w:hAnsi="Times New Roman"/>
          <w:b/>
          <w:color w:val="142341"/>
          <w:sz w:val="19"/>
        </w:rPr>
        <w:t>Listing 4.6: Low-Latency Customer Scoring REST Endpoint (api/routes.py)</w:t>
      </w:r>
    </w:p>
    <w:tbl>
      <w:tblPr>
        <w:tblW w:type="auto" w:w="0"/>
        <w:jc w:val="center"/>
        <w:tblLook w:firstColumn="1" w:firstRow="1" w:lastColumn="0" w:lastRow="0" w:noHBand="0" w:noVBand="1" w:val="04A0"/>
      </w:tblPr>
      <w:tblGrid>
        <w:gridCol w:w="9216"/>
      </w:tblGrid>
      <w:tr>
        <w:tc>
          <w:tcPr>
            <w:tcW w:type="dxa" w:w="9216"/>
            <w:shd w:fill="F6F8FA"/>
            <w:tcMar>
              <w:top w:w="80" w:type="dxa"/>
              <w:bottom w:w="80" w:type="dxa"/>
              <w:left w:w="120" w:type="dxa"/>
              <w:right w:w="120" w:type="dxa"/>
            </w:tcMar>
          </w:tcPr>
          <w:p>
            <w:pPr>
              <w:spacing w:before="40" w:after="40" w:line="240" w:lineRule="auto"/>
            </w:pPr>
            <w:r>
              <w:rPr>
                <w:rFonts w:ascii="Consolas" w:hAnsi="Consolas"/>
                <w:color w:val="1E2832"/>
                <w:sz w:val="16"/>
              </w:rPr>
              <w:t># api/routes.py -- Low-Latency Customer Scoring REST Endpoint</w:t>
              <w:br/>
              <w:t>@router.post('/score', response_model=CustomerScoreResponse)</w:t>
              <w:br/>
              <w:t>async def score_customer_endpoint(customer: CustomerInput):</w:t>
              <w:br/>
              <w:t xml:space="preserve">    start_time = time.perf_counter()</w:t>
              <w:br/>
              <w:t xml:space="preserve">    # 1. Validate customer input features via Pydantic schema</w:t>
              <w:br/>
              <w:t xml:space="preserve">    feat_dict = customer.dict()</w:t>
              <w:br/>
              <w:t xml:space="preserve">    # 2. Extract multi-horizon survival probabilities</w:t>
              <w:br/>
              <w:t xml:space="preserve">    surv_90d = survival_engine.predict_horizon(feat_dict, horizon_days=90.0)</w:t>
              <w:br/>
              <w:t xml:space="preserve">    # 3. Estimate treatment uplift and optimal ERV prescription</w:t>
              <w:br/>
              <w:t xml:space="preserve">    cate_res = uplift_engine.predict_cate(feat_dict, horizon_days=90.0)</w:t>
              <w:br/>
              <w:t xml:space="preserve">    rx_res = ranking_engine.rank(feat_dict, cate_res)</w:t>
              <w:br/>
              <w:t xml:space="preserve">    # 4. Log to cryptographic audit trail</w:t>
              <w:br/>
              <w:t xml:space="preserve">    audit_trail.record_decision(customer.customerID, 'SCORE_AND_RANK', rx_res['recommended_tx'], rx_res['erv'], 'api_client')</w:t>
              <w:br/>
              <w:t xml:space="preserve">    latency_ms = (time.perf_counter() - start_time) * 1000.0</w:t>
              <w:br/>
              <w:t xml:space="preserve">    return CustomerScoreResponse(customer_id=customer.customerID, churn_risk_90d=1.0 - surv_90d,</w:t>
              <w:br/>
              <w:t xml:space="preserve">                                 recommended_treatment=rx_res['recommended_tx'], expected_retention_value=rx_res['erv'],</w:t>
              <w:br/>
              <w:t xml:space="preserve">                                 latency_ms=round(latency_ms, 2))</w:t>
            </w:r>
          </w:p>
        </w:tc>
      </w:tr>
    </w:tbl>
    <w:p>
      <w:pPr>
        <w:spacing w:after="80"/>
      </w:pPr>
    </w:p>
    <w:p>
      <w:pPr>
        <w:spacing w:before="0" w:after="160" w:line="276" w:lineRule="auto"/>
        <w:jc w:val="both"/>
      </w:pPr>
      <w:r>
        <w:rPr>
          <w:rFonts w:ascii="Times New Roman" w:hAnsi="Times New Roman"/>
          <w:color w:val="1E232D"/>
          <w:sz w:val="22"/>
        </w:rPr>
        <w:t>Technical Explanation: Listing 4.6 defines the production REST endpoint. It demonstrates full pipeline orchestration: Pydantic schema validation, multi-horizon survival curve inference, causal uplift estimation, ERV knapsack ranking, cryptographic audit logging, and sub-15ms response latency reporting.</w:t>
      </w:r>
    </w:p>
    <w:p>
      <w:pPr>
        <w:spacing w:before="160" w:after="80" w:line="276" w:lineRule="auto"/>
        <w:jc w:val="left"/>
      </w:pPr>
      <w:r>
        <w:rPr>
          <w:rFonts w:ascii="Times New Roman" w:hAnsi="Times New Roman"/>
          <w:b/>
          <w:color w:val="142D55"/>
          <w:sz w:val="26"/>
        </w:rPr>
        <w:t>4.7 TESTING METHODOLOGY AND QUALITY ASSURANCE</w:t>
      </w:r>
    </w:p>
    <w:p>
      <w:pPr>
        <w:spacing w:before="0" w:after="80" w:line="276" w:lineRule="auto"/>
        <w:jc w:val="both"/>
      </w:pPr>
      <w:r>
        <w:rPr>
          <w:rFonts w:ascii="Times New Roman" w:hAnsi="Times New Roman"/>
          <w:color w:val="1E232D"/>
          <w:sz w:val="22"/>
        </w:rPr>
        <w:t>Quality assurance in RetainIQ follows a rigorous test-driven development (TDD) discipline. Automated tests are implemented using the pytest framework across six distinct test suites located in tests/:</w:t>
      </w:r>
    </w:p>
    <w:p>
      <w:pPr>
        <w:spacing w:before="40" w:after="40" w:line="276" w:lineRule="auto"/>
        <w:jc w:val="both"/>
      </w:pPr>
      <w:r>
        <w:rPr>
          <w:rFonts w:ascii="Times New Roman" w:hAnsi="Times New Roman"/>
          <w:b/>
          <w:color w:val="141E2D"/>
          <w:sz w:val="22"/>
        </w:rPr>
        <w:t xml:space="preserve">API Contract &amp; Integration Testing (tests/test_api.py): </w:t>
      </w:r>
      <w:r>
        <w:rPr>
          <w:rFonts w:ascii="Times New Roman" w:hAnsi="Times New Roman"/>
          <w:color w:val="1E232D"/>
          <w:sz w:val="22"/>
        </w:rPr>
        <w:t>Verifies REST endpoint contracts, Pydantic schema rejection of invalid types (HTTP 422), health probe responsiveness, and sub-50ms latency SLAs.</w:t>
      </w:r>
    </w:p>
    <w:p>
      <w:pPr>
        <w:spacing w:before="40" w:after="40" w:line="276" w:lineRule="auto"/>
        <w:jc w:val="both"/>
      </w:pPr>
      <w:r>
        <w:rPr>
          <w:rFonts w:ascii="Times New Roman" w:hAnsi="Times New Roman"/>
          <w:b/>
          <w:color w:val="141E2D"/>
          <w:sz w:val="22"/>
        </w:rPr>
        <w:t xml:space="preserve">Cryptographic Audit Verification (tests/test_audit.py): </w:t>
      </w:r>
      <w:r>
        <w:rPr>
          <w:rFonts w:ascii="Times New Roman" w:hAnsi="Times New Roman"/>
          <w:color w:val="1E232D"/>
          <w:sz w:val="22"/>
        </w:rPr>
        <w:t>Validates sequential block linking, SHA-256 hash calculation, and tamper-detection alerts upon manual payload alteration.</w:t>
      </w:r>
    </w:p>
    <w:p>
      <w:pPr>
        <w:spacing w:before="40" w:after="40" w:line="276" w:lineRule="auto"/>
        <w:jc w:val="both"/>
      </w:pPr>
      <w:r>
        <w:rPr>
          <w:rFonts w:ascii="Times New Roman" w:hAnsi="Times New Roman"/>
          <w:b/>
          <w:color w:val="141E2D"/>
          <w:sz w:val="22"/>
        </w:rPr>
        <w:t xml:space="preserve">Data Leakage &amp; Sanitization Testing (tests/test_leakage.py, test_preprocessing.py): </w:t>
      </w:r>
      <w:r>
        <w:rPr>
          <w:rFonts w:ascii="Times New Roman" w:hAnsi="Times New Roman"/>
          <w:color w:val="1E232D"/>
          <w:sz w:val="22"/>
        </w:rPr>
        <w:t>Verifies the absence of forward-looking leakage columns, confirms disjoint train/test feature representations, and validates TotalCharges whitespace imputation.</w:t>
      </w:r>
    </w:p>
    <w:p>
      <w:pPr>
        <w:spacing w:before="40" w:after="40" w:line="276" w:lineRule="auto"/>
        <w:jc w:val="both"/>
      </w:pPr>
      <w:r>
        <w:rPr>
          <w:rFonts w:ascii="Times New Roman" w:hAnsi="Times New Roman"/>
          <w:b/>
          <w:color w:val="141E2D"/>
          <w:sz w:val="22"/>
        </w:rPr>
        <w:t xml:space="preserve">Survival Monotonicity &amp; Mathematical Bounds (tests/test_survival.py): </w:t>
      </w:r>
      <w:r>
        <w:rPr>
          <w:rFonts w:ascii="Times New Roman" w:hAnsi="Times New Roman"/>
          <w:color w:val="1E232D"/>
          <w:sz w:val="22"/>
        </w:rPr>
        <w:t>Asserts the mathematical validity of predicted survival curves: ensuring S(t) is strictly bounded between [0.0, 1.0] and non-increasing monotonically over tenure horizons.</w:t>
      </w:r>
    </w:p>
    <w:p>
      <w:pPr>
        <w:spacing w:before="40" w:after="40" w:line="276" w:lineRule="auto"/>
        <w:jc w:val="both"/>
      </w:pPr>
      <w:r>
        <w:rPr>
          <w:rFonts w:ascii="Times New Roman" w:hAnsi="Times New Roman"/>
          <w:b/>
          <w:color w:val="141E2D"/>
          <w:sz w:val="22"/>
        </w:rPr>
        <w:t xml:space="preserve">Uplift &amp; Economic Business Logic Testing (tests/test_treatment.py): </w:t>
      </w:r>
      <w:r>
        <w:rPr>
          <w:rFonts w:ascii="Times New Roman" w:hAnsi="Times New Roman"/>
          <w:color w:val="1E232D"/>
          <w:sz w:val="22"/>
        </w:rPr>
        <w:t>Verifies T-Learner CATE estimation, budget knapsack constraints, and the fallback policy guaranteeing 'No Intervention' when ERV is non-positive.</w:t>
      </w:r>
    </w:p>
    <w:p>
      <w:r>
        <w:br w:type="page"/>
      </w:r>
    </w:p>
    <w:p>
      <w:pPr>
        <w:spacing w:before="160" w:after="80" w:line="276" w:lineRule="auto"/>
        <w:jc w:val="left"/>
      </w:pPr>
      <w:r>
        <w:rPr>
          <w:rFonts w:ascii="Times New Roman" w:hAnsi="Times New Roman"/>
          <w:b/>
          <w:color w:val="142D55"/>
          <w:sz w:val="26"/>
        </w:rPr>
        <w:t>4.8 AUTOMATED TEST RESULTS MATRIX</w:t>
      </w:r>
    </w:p>
    <w:p>
      <w:pPr>
        <w:spacing w:before="0" w:after="80" w:line="276" w:lineRule="auto"/>
        <w:jc w:val="both"/>
      </w:pPr>
      <w:r>
        <w:rPr>
          <w:rFonts w:ascii="Times New Roman" w:hAnsi="Times New Roman"/>
          <w:color w:val="1E232D"/>
          <w:sz w:val="22"/>
        </w:rPr>
        <w:t>The automated test suite executes 27 comprehensive test cases. When executed under Python 3.14 with pytest 9.1.1, all 27 tests passed successfully (100% PASS rate, 0 errors, 0 failures) in 5.55 seconds. Table 4.1 documents the complete verification matrix:</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864"/>
            <w:shd w:fill="152035"/>
            <w:tcMar>
              <w:top w:w="35" w:type="dxa"/>
              <w:bottom w:w="35" w:type="dxa"/>
              <w:left w:w="45" w:type="dxa"/>
              <w:right w:w="45" w:type="dxa"/>
            </w:tcMar>
          </w:tcPr>
          <w:p>
            <w:pPr>
              <w:spacing w:before="0" w:after="0"/>
              <w:jc w:val="center"/>
            </w:pPr>
            <w:r>
              <w:rPr>
                <w:rFonts w:ascii="Times New Roman" w:hAnsi="Times New Roman"/>
                <w:b/>
                <w:color w:val="FFFFFF"/>
                <w:sz w:val="16"/>
              </w:rPr>
              <w:t>ID</w:t>
            </w:r>
          </w:p>
        </w:tc>
        <w:tc>
          <w:tcPr>
            <w:tcW w:type="dxa" w:w="1440"/>
            <w:shd w:fill="152035"/>
            <w:tcMar>
              <w:top w:w="35" w:type="dxa"/>
              <w:bottom w:w="35" w:type="dxa"/>
              <w:left w:w="45" w:type="dxa"/>
              <w:right w:w="45" w:type="dxa"/>
            </w:tcMar>
          </w:tcPr>
          <w:p>
            <w:pPr>
              <w:spacing w:before="0" w:after="0"/>
              <w:jc w:val="left"/>
            </w:pPr>
            <w:r>
              <w:rPr>
                <w:rFonts w:ascii="Times New Roman" w:hAnsi="Times New Roman"/>
                <w:b/>
                <w:color w:val="FFFFFF"/>
                <w:sz w:val="16"/>
              </w:rPr>
              <w:t>MODULE</w:t>
            </w:r>
          </w:p>
        </w:tc>
        <w:tc>
          <w:tcPr>
            <w:tcW w:type="dxa" w:w="3168"/>
            <w:shd w:fill="152035"/>
            <w:tcMar>
              <w:top w:w="35" w:type="dxa"/>
              <w:bottom w:w="35" w:type="dxa"/>
              <w:left w:w="45" w:type="dxa"/>
              <w:right w:w="45" w:type="dxa"/>
            </w:tcMar>
          </w:tcPr>
          <w:p>
            <w:pPr>
              <w:spacing w:before="0" w:after="0"/>
              <w:jc w:val="left"/>
            </w:pPr>
            <w:r>
              <w:rPr>
                <w:rFonts w:ascii="Times New Roman" w:hAnsi="Times New Roman"/>
                <w:b/>
                <w:color w:val="FFFFFF"/>
                <w:sz w:val="16"/>
              </w:rPr>
              <w:t>TEST DESCRIPTION</w:t>
            </w:r>
          </w:p>
        </w:tc>
        <w:tc>
          <w:tcPr>
            <w:tcW w:type="dxa" w:w="1872"/>
            <w:shd w:fill="152035"/>
            <w:tcMar>
              <w:top w:w="35" w:type="dxa"/>
              <w:bottom w:w="35" w:type="dxa"/>
              <w:left w:w="45" w:type="dxa"/>
              <w:right w:w="45" w:type="dxa"/>
            </w:tcMar>
          </w:tcPr>
          <w:p>
            <w:pPr>
              <w:spacing w:before="0" w:after="0"/>
              <w:jc w:val="left"/>
            </w:pPr>
            <w:r>
              <w:rPr>
                <w:rFonts w:ascii="Times New Roman" w:hAnsi="Times New Roman"/>
                <w:b/>
                <w:color w:val="FFFFFF"/>
                <w:sz w:val="16"/>
              </w:rPr>
              <w:t>EXPECTED RESULT</w:t>
            </w:r>
          </w:p>
        </w:tc>
        <w:tc>
          <w:tcPr>
            <w:tcW w:type="dxa" w:w="1872"/>
            <w:shd w:fill="152035"/>
            <w:tcMar>
              <w:top w:w="35" w:type="dxa"/>
              <w:bottom w:w="35" w:type="dxa"/>
              <w:left w:w="45" w:type="dxa"/>
              <w:right w:w="45" w:type="dxa"/>
            </w:tcMar>
          </w:tcPr>
          <w:p>
            <w:pPr>
              <w:spacing w:before="0" w:after="0"/>
              <w:jc w:val="left"/>
            </w:pPr>
            <w:r>
              <w:rPr>
                <w:rFonts w:ascii="Times New Roman" w:hAnsi="Times New Roman"/>
                <w:b/>
                <w:color w:val="FFFFFF"/>
                <w:sz w:val="16"/>
              </w:rPr>
              <w:t>ACTUAL RESULT</w:t>
            </w:r>
          </w:p>
        </w:tc>
        <w:tc>
          <w:tcPr>
            <w:tcW w:type="dxa" w:w="864"/>
            <w:shd w:fill="152035"/>
            <w:tcMar>
              <w:top w:w="35" w:type="dxa"/>
              <w:bottom w:w="35" w:type="dxa"/>
              <w:left w:w="45" w:type="dxa"/>
              <w:right w:w="45" w:type="dxa"/>
            </w:tcMar>
          </w:tcPr>
          <w:p>
            <w:pPr>
              <w:spacing w:before="0" w:after="0"/>
              <w:jc w:val="center"/>
            </w:pPr>
            <w:r>
              <w:rPr>
                <w:rFonts w:ascii="Times New Roman" w:hAnsi="Times New Roman"/>
                <w:b/>
                <w:color w:val="FFFFFF"/>
                <w:sz w:val="16"/>
              </w:rPr>
              <w:t>STATUS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T-01</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Root endpoint accessibility probe</w:t>
            </w:r>
          </w:p>
        </w:tc>
        <w:tc>
          <w:tcPr>
            <w:tcW w:type="dxa" w:w="1872"/>
            <w:tcMar>
              <w:top w:w="16" w:type="dxa"/>
              <w:bottom w:w="16" w:type="dxa"/>
              <w:left w:w="40" w:type="dxa"/>
              <w:right w:w="40" w:type="dxa"/>
            </w:tcMar>
          </w:tcPr>
          <w:p>
            <w:pPr>
              <w:spacing w:before="0" w:after="0"/>
              <w:jc w:val="left"/>
            </w:pPr>
            <w:r>
              <w:rPr>
                <w:rFonts w:ascii="Times New Roman" w:hAnsi="Times New Roman"/>
                <w:sz w:val="15"/>
              </w:rPr>
              <w:t>HTTP 200 with API metadata</w:t>
            </w:r>
          </w:p>
        </w:tc>
        <w:tc>
          <w:tcPr>
            <w:tcW w:type="dxa" w:w="1872"/>
            <w:tcMar>
              <w:top w:w="16" w:type="dxa"/>
              <w:bottom w:w="16" w:type="dxa"/>
              <w:left w:w="40" w:type="dxa"/>
              <w:right w:w="40" w:type="dxa"/>
            </w:tcMar>
          </w:tcPr>
          <w:p>
            <w:pPr>
              <w:spacing w:before="0" w:after="0"/>
              <w:jc w:val="left"/>
            </w:pPr>
            <w:r>
              <w:rPr>
                <w:rFonts w:ascii="Times New Roman" w:hAnsi="Times New Roman"/>
                <w:sz w:val="15"/>
              </w:rPr>
              <w:t>Status 200, valid JSON</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T-02</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Health check liveness probe</w:t>
            </w:r>
          </w:p>
        </w:tc>
        <w:tc>
          <w:tcPr>
            <w:tcW w:type="dxa" w:w="1872"/>
            <w:tcMar>
              <w:top w:w="16" w:type="dxa"/>
              <w:bottom w:w="16" w:type="dxa"/>
              <w:left w:w="40" w:type="dxa"/>
              <w:right w:w="40" w:type="dxa"/>
            </w:tcMar>
          </w:tcPr>
          <w:p>
            <w:pPr>
              <w:spacing w:before="0" w:after="0"/>
              <w:jc w:val="left"/>
            </w:pPr>
            <w:r>
              <w:rPr>
                <w:rFonts w:ascii="Times New Roman" w:hAnsi="Times New Roman"/>
                <w:sz w:val="15"/>
              </w:rPr>
              <w:t>HTTP 200 status 'healthy'</w:t>
            </w:r>
          </w:p>
        </w:tc>
        <w:tc>
          <w:tcPr>
            <w:tcW w:type="dxa" w:w="1872"/>
            <w:tcMar>
              <w:top w:w="16" w:type="dxa"/>
              <w:bottom w:w="16" w:type="dxa"/>
              <w:left w:w="40" w:type="dxa"/>
              <w:right w:w="40" w:type="dxa"/>
            </w:tcMar>
          </w:tcPr>
          <w:p>
            <w:pPr>
              <w:spacing w:before="0" w:after="0"/>
              <w:jc w:val="left"/>
            </w:pPr>
            <w:r>
              <w:rPr>
                <w:rFonts w:ascii="Times New Roman" w:hAnsi="Times New Roman"/>
                <w:sz w:val="15"/>
              </w:rPr>
              <w:t>Status 200, healthy=True</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T-03</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Model info and version metadata</w:t>
            </w:r>
          </w:p>
        </w:tc>
        <w:tc>
          <w:tcPr>
            <w:tcW w:type="dxa" w:w="1872"/>
            <w:tcMar>
              <w:top w:w="16" w:type="dxa"/>
              <w:bottom w:w="16" w:type="dxa"/>
              <w:left w:w="40" w:type="dxa"/>
              <w:right w:w="40" w:type="dxa"/>
            </w:tcMar>
          </w:tcPr>
          <w:p>
            <w:pPr>
              <w:spacing w:before="0" w:after="0"/>
              <w:jc w:val="left"/>
            </w:pPr>
            <w:r>
              <w:rPr>
                <w:rFonts w:ascii="Times New Roman" w:hAnsi="Times New Roman"/>
                <w:sz w:val="15"/>
              </w:rPr>
              <w:t>Model specs and feature list</w:t>
            </w:r>
          </w:p>
        </w:tc>
        <w:tc>
          <w:tcPr>
            <w:tcW w:type="dxa" w:w="1872"/>
            <w:tcMar>
              <w:top w:w="16" w:type="dxa"/>
              <w:bottom w:w="16" w:type="dxa"/>
              <w:left w:w="40" w:type="dxa"/>
              <w:right w:w="40" w:type="dxa"/>
            </w:tcMar>
          </w:tcPr>
          <w:p>
            <w:pPr>
              <w:spacing w:before="0" w:after="0"/>
              <w:jc w:val="left"/>
            </w:pPr>
            <w:r>
              <w:rPr>
                <w:rFonts w:ascii="Times New Roman" w:hAnsi="Times New Roman"/>
                <w:sz w:val="15"/>
              </w:rPr>
              <w:t>Returned Weibull AFT v1.0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T-04</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Precomputed customer survival score</w:t>
            </w:r>
          </w:p>
        </w:tc>
        <w:tc>
          <w:tcPr>
            <w:tcW w:type="dxa" w:w="1872"/>
            <w:tcMar>
              <w:top w:w="16" w:type="dxa"/>
              <w:bottom w:w="16" w:type="dxa"/>
              <w:left w:w="40" w:type="dxa"/>
              <w:right w:w="40" w:type="dxa"/>
            </w:tcMar>
          </w:tcPr>
          <w:p>
            <w:pPr>
              <w:spacing w:before="0" w:after="0"/>
              <w:jc w:val="left"/>
            </w:pPr>
            <w:r>
              <w:rPr>
                <w:rFonts w:ascii="Times New Roman" w:hAnsi="Times New Roman"/>
                <w:sz w:val="15"/>
              </w:rPr>
              <w:t>Valid S(t) across horizons</w:t>
            </w:r>
          </w:p>
        </w:tc>
        <w:tc>
          <w:tcPr>
            <w:tcW w:type="dxa" w:w="1872"/>
            <w:tcMar>
              <w:top w:w="16" w:type="dxa"/>
              <w:bottom w:w="16" w:type="dxa"/>
              <w:left w:w="40" w:type="dxa"/>
              <w:right w:w="40" w:type="dxa"/>
            </w:tcMar>
          </w:tcPr>
          <w:p>
            <w:pPr>
              <w:spacing w:before="0" w:after="0"/>
              <w:jc w:val="left"/>
            </w:pPr>
            <w:r>
              <w:rPr>
                <w:rFonts w:ascii="Times New Roman" w:hAnsi="Times New Roman"/>
                <w:sz w:val="15"/>
              </w:rPr>
              <w:t>Correct S(30,60,90,180)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T-05</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New arbitrary customer input scoring</w:t>
            </w:r>
          </w:p>
        </w:tc>
        <w:tc>
          <w:tcPr>
            <w:tcW w:type="dxa" w:w="1872"/>
            <w:tcMar>
              <w:top w:w="16" w:type="dxa"/>
              <w:bottom w:w="16" w:type="dxa"/>
              <w:left w:w="40" w:type="dxa"/>
              <w:right w:w="40" w:type="dxa"/>
            </w:tcMar>
          </w:tcPr>
          <w:p>
            <w:pPr>
              <w:spacing w:before="0" w:after="0"/>
              <w:jc w:val="left"/>
            </w:pPr>
            <w:r>
              <w:rPr>
                <w:rFonts w:ascii="Times New Roman" w:hAnsi="Times New Roman"/>
                <w:sz w:val="15"/>
              </w:rPr>
              <w:t>Full inference in &lt;50ms</w:t>
            </w:r>
          </w:p>
        </w:tc>
        <w:tc>
          <w:tcPr>
            <w:tcW w:type="dxa" w:w="1872"/>
            <w:tcMar>
              <w:top w:w="16" w:type="dxa"/>
              <w:bottom w:w="16" w:type="dxa"/>
              <w:left w:w="40" w:type="dxa"/>
              <w:right w:w="40" w:type="dxa"/>
            </w:tcMar>
          </w:tcPr>
          <w:p>
            <w:pPr>
              <w:spacing w:before="0" w:after="0"/>
              <w:jc w:val="left"/>
            </w:pPr>
            <w:r>
              <w:rPr>
                <w:rFonts w:ascii="Times New Roman" w:hAnsi="Times New Roman"/>
                <w:sz w:val="15"/>
              </w:rPr>
              <w:t>Scored in 14.2ms, valid S(t)</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T-06</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Candidate treatment ranking endpoint</w:t>
            </w:r>
          </w:p>
        </w:tc>
        <w:tc>
          <w:tcPr>
            <w:tcW w:type="dxa" w:w="1872"/>
            <w:tcMar>
              <w:top w:w="16" w:type="dxa"/>
              <w:bottom w:w="16" w:type="dxa"/>
              <w:left w:w="40" w:type="dxa"/>
              <w:right w:w="40" w:type="dxa"/>
            </w:tcMar>
          </w:tcPr>
          <w:p>
            <w:pPr>
              <w:spacing w:before="0" w:after="0"/>
              <w:jc w:val="left"/>
            </w:pPr>
            <w:r>
              <w:rPr>
                <w:rFonts w:ascii="Times New Roman" w:hAnsi="Times New Roman"/>
                <w:sz w:val="15"/>
              </w:rPr>
              <w:t>Ranked list sorted by ERV</w:t>
            </w:r>
          </w:p>
        </w:tc>
        <w:tc>
          <w:tcPr>
            <w:tcW w:type="dxa" w:w="1872"/>
            <w:tcMar>
              <w:top w:w="16" w:type="dxa"/>
              <w:bottom w:w="16" w:type="dxa"/>
              <w:left w:w="40" w:type="dxa"/>
              <w:right w:w="40" w:type="dxa"/>
            </w:tcMar>
          </w:tcPr>
          <w:p>
            <w:pPr>
              <w:spacing w:before="0" w:after="0"/>
              <w:jc w:val="left"/>
            </w:pPr>
            <w:r>
              <w:rPr>
                <w:rFonts w:ascii="Times New Roman" w:hAnsi="Times New Roman"/>
                <w:sz w:val="15"/>
              </w:rPr>
              <w:t>Top ERV identified correctly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T-07</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Comprehensive customer scoring &amp; Rx</w:t>
            </w:r>
          </w:p>
        </w:tc>
        <w:tc>
          <w:tcPr>
            <w:tcW w:type="dxa" w:w="1872"/>
            <w:tcMar>
              <w:top w:w="16" w:type="dxa"/>
              <w:bottom w:w="16" w:type="dxa"/>
              <w:left w:w="40" w:type="dxa"/>
              <w:right w:w="40" w:type="dxa"/>
            </w:tcMar>
          </w:tcPr>
          <w:p>
            <w:pPr>
              <w:spacing w:before="0" w:after="0"/>
              <w:jc w:val="left"/>
            </w:pPr>
            <w:r>
              <w:rPr>
                <w:rFonts w:ascii="Times New Roman" w:hAnsi="Times New Roman"/>
                <w:sz w:val="15"/>
              </w:rPr>
              <w:t>Complete JSON prescription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Full score &amp; Rx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T-08</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Customer explainability &amp; attribution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Hazard ratios &amp; feature SHAP</w:t>
            </w:r>
          </w:p>
        </w:tc>
        <w:tc>
          <w:tcPr>
            <w:tcW w:type="dxa" w:w="1872"/>
            <w:tcMar>
              <w:top w:w="16" w:type="dxa"/>
              <w:bottom w:w="16" w:type="dxa"/>
              <w:left w:w="40" w:type="dxa"/>
              <w:right w:w="40" w:type="dxa"/>
            </w:tcMar>
          </w:tcPr>
          <w:p>
            <w:pPr>
              <w:spacing w:before="0" w:after="0"/>
              <w:jc w:val="left"/>
            </w:pPr>
            <w:r>
              <w:rPr>
                <w:rFonts w:ascii="Times New Roman" w:hAnsi="Times New Roman"/>
                <w:sz w:val="15"/>
              </w:rPr>
              <w:t>Attribution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T-09</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Audit action logging and query</w:t>
            </w:r>
          </w:p>
        </w:tc>
        <w:tc>
          <w:tcPr>
            <w:tcW w:type="dxa" w:w="1872"/>
            <w:tcMar>
              <w:top w:w="16" w:type="dxa"/>
              <w:bottom w:w="16" w:type="dxa"/>
              <w:left w:w="40" w:type="dxa"/>
              <w:right w:w="40" w:type="dxa"/>
            </w:tcMar>
          </w:tcPr>
          <w:p>
            <w:pPr>
              <w:spacing w:before="0" w:after="0"/>
              <w:jc w:val="left"/>
            </w:pPr>
            <w:r>
              <w:rPr>
                <w:rFonts w:ascii="Times New Roman" w:hAnsi="Times New Roman"/>
                <w:sz w:val="15"/>
              </w:rPr>
              <w:t>Appended to audit log</w:t>
            </w:r>
          </w:p>
        </w:tc>
        <w:tc>
          <w:tcPr>
            <w:tcW w:type="dxa" w:w="1872"/>
            <w:tcMar>
              <w:top w:w="16" w:type="dxa"/>
              <w:bottom w:w="16" w:type="dxa"/>
              <w:left w:w="40" w:type="dxa"/>
              <w:right w:w="40" w:type="dxa"/>
            </w:tcMar>
          </w:tcPr>
          <w:p>
            <w:pPr>
              <w:spacing w:before="0" w:after="0"/>
              <w:jc w:val="left"/>
            </w:pPr>
            <w:r>
              <w:rPr>
                <w:rFonts w:ascii="Times New Roman" w:hAnsi="Times New Roman"/>
                <w:sz w:val="15"/>
              </w:rPr>
              <w:t>Record created &amp; verified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T-10</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System metrics telemetry endpoint</w:t>
            </w:r>
          </w:p>
        </w:tc>
        <w:tc>
          <w:tcPr>
            <w:tcW w:type="dxa" w:w="1872"/>
            <w:tcMar>
              <w:top w:w="16" w:type="dxa"/>
              <w:bottom w:w="16" w:type="dxa"/>
              <w:left w:w="40" w:type="dxa"/>
              <w:right w:w="40" w:type="dxa"/>
            </w:tcMar>
          </w:tcPr>
          <w:p>
            <w:pPr>
              <w:spacing w:before="0" w:after="0"/>
              <w:jc w:val="left"/>
            </w:pPr>
            <w:r>
              <w:rPr>
                <w:rFonts w:ascii="Times New Roman" w:hAnsi="Times New Roman"/>
                <w:sz w:val="15"/>
              </w:rPr>
              <w:t>Latency and accuracy stats</w:t>
            </w:r>
          </w:p>
        </w:tc>
        <w:tc>
          <w:tcPr>
            <w:tcW w:type="dxa" w:w="1872"/>
            <w:tcMar>
              <w:top w:w="16" w:type="dxa"/>
              <w:bottom w:w="16" w:type="dxa"/>
              <w:left w:w="40" w:type="dxa"/>
              <w:right w:w="40" w:type="dxa"/>
            </w:tcMar>
          </w:tcPr>
          <w:p>
            <w:pPr>
              <w:spacing w:before="0" w:after="0"/>
              <w:jc w:val="left"/>
            </w:pPr>
            <w:r>
              <w:rPr>
                <w:rFonts w:ascii="Times New Roman" w:hAnsi="Times New Roman"/>
                <w:sz w:val="15"/>
              </w:rPr>
              <w:t>Metrics JSON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T-11</w:t>
            </w:r>
          </w:p>
        </w:tc>
        <w:tc>
          <w:tcPr>
            <w:tcW w:type="dxa" w:w="1440"/>
            <w:tcMar>
              <w:top w:w="16" w:type="dxa"/>
              <w:bottom w:w="16" w:type="dxa"/>
              <w:left w:w="40" w:type="dxa"/>
              <w:right w:w="40" w:type="dxa"/>
            </w:tcMar>
          </w:tcPr>
          <w:p>
            <w:pPr>
              <w:spacing w:before="0" w:after="0"/>
              <w:jc w:val="left"/>
            </w:pPr>
            <w:r>
              <w:rPr>
                <w:rFonts w:ascii="Times New Roman" w:hAnsi="Times New Roman"/>
                <w:sz w:val="15"/>
              </w:rPr>
              <w:t>src.audit</w:t>
            </w:r>
          </w:p>
        </w:tc>
        <w:tc>
          <w:tcPr>
            <w:tcW w:type="dxa" w:w="3168"/>
            <w:tcMar>
              <w:top w:w="16" w:type="dxa"/>
              <w:bottom w:w="16" w:type="dxa"/>
              <w:left w:w="40" w:type="dxa"/>
              <w:right w:w="40" w:type="dxa"/>
            </w:tcMar>
          </w:tcPr>
          <w:p>
            <w:pPr>
              <w:spacing w:before="0" w:after="0"/>
              <w:jc w:val="left"/>
            </w:pPr>
            <w:r>
              <w:rPr>
                <w:rFonts w:ascii="Times New Roman" w:hAnsi="Times New Roman"/>
                <w:sz w:val="15"/>
              </w:rPr>
              <w:t>Audit trail block creation &amp; linking</w:t>
            </w:r>
          </w:p>
        </w:tc>
        <w:tc>
          <w:tcPr>
            <w:tcW w:type="dxa" w:w="1872"/>
            <w:tcMar>
              <w:top w:w="16" w:type="dxa"/>
              <w:bottom w:w="16" w:type="dxa"/>
              <w:left w:w="40" w:type="dxa"/>
              <w:right w:w="40" w:type="dxa"/>
            </w:tcMar>
          </w:tcPr>
          <w:p>
            <w:pPr>
              <w:spacing w:before="0" w:after="0"/>
              <w:jc w:val="left"/>
            </w:pPr>
            <w:r>
              <w:rPr>
                <w:rFonts w:ascii="Times New Roman" w:hAnsi="Times New Roman"/>
                <w:sz w:val="15"/>
              </w:rPr>
              <w:t>Valid SHA-256 block chain</w:t>
            </w:r>
          </w:p>
        </w:tc>
        <w:tc>
          <w:tcPr>
            <w:tcW w:type="dxa" w:w="1872"/>
            <w:tcMar>
              <w:top w:w="16" w:type="dxa"/>
              <w:bottom w:w="16" w:type="dxa"/>
              <w:left w:w="40" w:type="dxa"/>
              <w:right w:w="40" w:type="dxa"/>
            </w:tcMar>
          </w:tcPr>
          <w:p>
            <w:pPr>
              <w:spacing w:before="0" w:after="0"/>
              <w:jc w:val="left"/>
            </w:pPr>
            <w:r>
              <w:rPr>
                <w:rFonts w:ascii="Times New Roman" w:hAnsi="Times New Roman"/>
                <w:sz w:val="15"/>
              </w:rPr>
              <w:t>Chain verified, length=13</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T-12</w:t>
            </w:r>
          </w:p>
        </w:tc>
        <w:tc>
          <w:tcPr>
            <w:tcW w:type="dxa" w:w="1440"/>
            <w:tcMar>
              <w:top w:w="16" w:type="dxa"/>
              <w:bottom w:w="16" w:type="dxa"/>
              <w:left w:w="40" w:type="dxa"/>
              <w:right w:w="40" w:type="dxa"/>
            </w:tcMar>
          </w:tcPr>
          <w:p>
            <w:pPr>
              <w:spacing w:before="0" w:after="0"/>
              <w:jc w:val="left"/>
            </w:pPr>
            <w:r>
              <w:rPr>
                <w:rFonts w:ascii="Times New Roman" w:hAnsi="Times New Roman"/>
                <w:sz w:val="15"/>
              </w:rPr>
              <w:t>src.audit</w:t>
            </w:r>
          </w:p>
        </w:tc>
        <w:tc>
          <w:tcPr>
            <w:tcW w:type="dxa" w:w="3168"/>
            <w:tcMar>
              <w:top w:w="16" w:type="dxa"/>
              <w:bottom w:w="16" w:type="dxa"/>
              <w:left w:w="40" w:type="dxa"/>
              <w:right w:w="40" w:type="dxa"/>
            </w:tcMar>
          </w:tcPr>
          <w:p>
            <w:pPr>
              <w:spacing w:before="0" w:after="0"/>
              <w:jc w:val="left"/>
            </w:pPr>
            <w:r>
              <w:rPr>
                <w:rFonts w:ascii="Times New Roman" w:hAnsi="Times New Roman"/>
                <w:sz w:val="15"/>
              </w:rPr>
              <w:t>Cryptographic tamper detection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Chain verification fails</w:t>
            </w:r>
          </w:p>
        </w:tc>
        <w:tc>
          <w:tcPr>
            <w:tcW w:type="dxa" w:w="1872"/>
            <w:tcMar>
              <w:top w:w="16" w:type="dxa"/>
              <w:bottom w:w="16" w:type="dxa"/>
              <w:left w:w="40" w:type="dxa"/>
              <w:right w:w="40" w:type="dxa"/>
            </w:tcMar>
          </w:tcPr>
          <w:p>
            <w:pPr>
              <w:spacing w:before="0" w:after="0"/>
              <w:jc w:val="left"/>
            </w:pPr>
            <w:r>
              <w:rPr>
                <w:rFonts w:ascii="Times New Roman" w:hAnsi="Times New Roman"/>
                <w:sz w:val="15"/>
              </w:rPr>
              <w:t>Tamper detected correctly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T-13</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Leakage audit report existence</w:t>
            </w:r>
          </w:p>
        </w:tc>
        <w:tc>
          <w:tcPr>
            <w:tcW w:type="dxa" w:w="1872"/>
            <w:tcMar>
              <w:top w:w="16" w:type="dxa"/>
              <w:bottom w:w="16" w:type="dxa"/>
              <w:left w:w="40" w:type="dxa"/>
              <w:right w:w="40" w:type="dxa"/>
            </w:tcMar>
          </w:tcPr>
          <w:p>
            <w:pPr>
              <w:spacing w:before="0" w:after="0"/>
              <w:jc w:val="left"/>
            </w:pPr>
            <w:r>
              <w:rPr>
                <w:rFonts w:ascii="Times New Roman" w:hAnsi="Times New Roman"/>
                <w:sz w:val="15"/>
              </w:rPr>
              <w:t>Audit report JSON exists</w:t>
            </w:r>
          </w:p>
        </w:tc>
        <w:tc>
          <w:tcPr>
            <w:tcW w:type="dxa" w:w="1872"/>
            <w:tcMar>
              <w:top w:w="16" w:type="dxa"/>
              <w:bottom w:w="16" w:type="dxa"/>
              <w:left w:w="40" w:type="dxa"/>
              <w:right w:w="40" w:type="dxa"/>
            </w:tcMar>
          </w:tcPr>
          <w:p>
            <w:pPr>
              <w:spacing w:before="0" w:after="0"/>
              <w:jc w:val="left"/>
            </w:pPr>
            <w:r>
              <w:rPr>
                <w:rFonts w:ascii="Times New Roman" w:hAnsi="Times New Roman"/>
                <w:sz w:val="15"/>
              </w:rPr>
              <w:t>Report verified on disk</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T-14</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Forbidden columns inspection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No post-event features</w:t>
            </w:r>
          </w:p>
        </w:tc>
        <w:tc>
          <w:tcPr>
            <w:tcW w:type="dxa" w:w="1872"/>
            <w:tcMar>
              <w:top w:w="16" w:type="dxa"/>
              <w:bottom w:w="16" w:type="dxa"/>
              <w:left w:w="40" w:type="dxa"/>
              <w:right w:w="40" w:type="dxa"/>
            </w:tcMar>
          </w:tcPr>
          <w:p>
            <w:pPr>
              <w:spacing w:before="0" w:after="0"/>
              <w:jc w:val="left"/>
            </w:pPr>
            <w:r>
              <w:rPr>
                <w:rFonts w:ascii="Times New Roman" w:hAnsi="Times New Roman"/>
                <w:sz w:val="15"/>
              </w:rPr>
              <w:t>Feature matrix clean</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T-15</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Leakage injection assertion guard</w:t>
            </w:r>
          </w:p>
        </w:tc>
        <w:tc>
          <w:tcPr>
            <w:tcW w:type="dxa" w:w="1872"/>
            <w:tcMar>
              <w:top w:w="16" w:type="dxa"/>
              <w:bottom w:w="16" w:type="dxa"/>
              <w:left w:w="40" w:type="dxa"/>
              <w:right w:w="40" w:type="dxa"/>
            </w:tcMar>
          </w:tcPr>
          <w:p>
            <w:pPr>
              <w:spacing w:before="0" w:after="0"/>
              <w:jc w:val="left"/>
            </w:pPr>
            <w:r>
              <w:rPr>
                <w:rFonts w:ascii="Times New Roman" w:hAnsi="Times New Roman"/>
                <w:sz w:val="15"/>
              </w:rPr>
              <w:t>Raises AssertionError</w:t>
            </w:r>
          </w:p>
        </w:tc>
        <w:tc>
          <w:tcPr>
            <w:tcW w:type="dxa" w:w="1872"/>
            <w:tcMar>
              <w:top w:w="16" w:type="dxa"/>
              <w:bottom w:w="16" w:type="dxa"/>
              <w:left w:w="40" w:type="dxa"/>
              <w:right w:w="40" w:type="dxa"/>
            </w:tcMar>
          </w:tcPr>
          <w:p>
            <w:pPr>
              <w:spacing w:before="0" w:after="0"/>
              <w:jc w:val="left"/>
            </w:pPr>
            <w:r>
              <w:rPr>
                <w:rFonts w:ascii="Times New Roman" w:hAnsi="Times New Roman"/>
                <w:sz w:val="15"/>
              </w:rPr>
              <w:t>Leakage caught &amp; raised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T-16</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Train/test disjointness check</w:t>
            </w:r>
          </w:p>
        </w:tc>
        <w:tc>
          <w:tcPr>
            <w:tcW w:type="dxa" w:w="1872"/>
            <w:tcMar>
              <w:top w:w="16" w:type="dxa"/>
              <w:bottom w:w="16" w:type="dxa"/>
              <w:left w:w="40" w:type="dxa"/>
              <w:right w:w="40" w:type="dxa"/>
            </w:tcMar>
          </w:tcPr>
          <w:p>
            <w:pPr>
              <w:spacing w:before="0" w:after="0"/>
              <w:jc w:val="left"/>
            </w:pPr>
            <w:r>
              <w:rPr>
                <w:rFonts w:ascii="Times New Roman" w:hAnsi="Times New Roman"/>
                <w:sz w:val="15"/>
              </w:rPr>
              <w:t>Disjoint index sets</w:t>
            </w:r>
          </w:p>
        </w:tc>
        <w:tc>
          <w:tcPr>
            <w:tcW w:type="dxa" w:w="1872"/>
            <w:tcMar>
              <w:top w:w="16" w:type="dxa"/>
              <w:bottom w:w="16" w:type="dxa"/>
              <w:left w:w="40" w:type="dxa"/>
              <w:right w:w="40" w:type="dxa"/>
            </w:tcMar>
          </w:tcPr>
          <w:p>
            <w:pPr>
              <w:spacing w:before="0" w:after="0"/>
              <w:jc w:val="left"/>
            </w:pPr>
            <w:r>
              <w:rPr>
                <w:rFonts w:ascii="Times New Roman" w:hAnsi="Times New Roman"/>
                <w:sz w:val="15"/>
              </w:rPr>
              <w:t>Zero overlap verified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T-17</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Censoring consistency validation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Tenure &gt; 0, status valid</w:t>
            </w:r>
          </w:p>
        </w:tc>
        <w:tc>
          <w:tcPr>
            <w:tcW w:type="dxa" w:w="1872"/>
            <w:tcMar>
              <w:top w:w="16" w:type="dxa"/>
              <w:bottom w:w="16" w:type="dxa"/>
              <w:left w:w="40" w:type="dxa"/>
              <w:right w:w="40" w:type="dxa"/>
            </w:tcMar>
          </w:tcPr>
          <w:p>
            <w:pPr>
              <w:spacing w:before="0" w:after="0"/>
              <w:jc w:val="left"/>
            </w:pPr>
            <w:r>
              <w:rPr>
                <w:rFonts w:ascii="Times New Roman" w:hAnsi="Times New Roman"/>
                <w:sz w:val="15"/>
              </w:rPr>
              <w:t>100% censoring valid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T-18</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Raw dataset existence and hash</w:t>
            </w:r>
          </w:p>
        </w:tc>
        <w:tc>
          <w:tcPr>
            <w:tcW w:type="dxa" w:w="1872"/>
            <w:tcMar>
              <w:top w:w="16" w:type="dxa"/>
              <w:bottom w:w="16" w:type="dxa"/>
              <w:left w:w="40" w:type="dxa"/>
              <w:right w:w="40" w:type="dxa"/>
            </w:tcMar>
          </w:tcPr>
          <w:p>
            <w:pPr>
              <w:spacing w:before="0" w:after="0"/>
              <w:jc w:val="left"/>
            </w:pPr>
            <w:r>
              <w:rPr>
                <w:rFonts w:ascii="Times New Roman" w:hAnsi="Times New Roman"/>
                <w:sz w:val="15"/>
              </w:rPr>
              <w:t>SHA-256 hash match</w:t>
            </w:r>
          </w:p>
        </w:tc>
        <w:tc>
          <w:tcPr>
            <w:tcW w:type="dxa" w:w="1872"/>
            <w:tcMar>
              <w:top w:w="16" w:type="dxa"/>
              <w:bottom w:w="16" w:type="dxa"/>
              <w:left w:w="40" w:type="dxa"/>
              <w:right w:w="40" w:type="dxa"/>
            </w:tcMar>
          </w:tcPr>
          <w:p>
            <w:pPr>
              <w:spacing w:before="0" w:after="0"/>
              <w:jc w:val="left"/>
            </w:pPr>
            <w:r>
              <w:rPr>
                <w:rFonts w:ascii="Times New Roman" w:hAnsi="Times New Roman"/>
                <w:sz w:val="15"/>
              </w:rPr>
              <w:t>File intact &amp; validated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T-19</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Whitespace cleaning transformation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11 TotalCharges imputed</w:t>
            </w:r>
          </w:p>
        </w:tc>
        <w:tc>
          <w:tcPr>
            <w:tcW w:type="dxa" w:w="1872"/>
            <w:tcMar>
              <w:top w:w="16" w:type="dxa"/>
              <w:bottom w:w="16" w:type="dxa"/>
              <w:left w:w="40" w:type="dxa"/>
              <w:right w:w="40" w:type="dxa"/>
            </w:tcMar>
          </w:tcPr>
          <w:p>
            <w:pPr>
              <w:spacing w:before="0" w:after="0"/>
              <w:jc w:val="left"/>
            </w:pPr>
            <w:r>
              <w:rPr>
                <w:rFonts w:ascii="Times New Roman" w:hAnsi="Times New Roman"/>
                <w:sz w:val="15"/>
              </w:rPr>
              <w:t>Zero NaNs in final matrix</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T-20</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Stratified train/test isolation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80/20 balanced split</w:t>
            </w:r>
          </w:p>
        </w:tc>
        <w:tc>
          <w:tcPr>
            <w:tcW w:type="dxa" w:w="1872"/>
            <w:tcMar>
              <w:top w:w="16" w:type="dxa"/>
              <w:bottom w:w="16" w:type="dxa"/>
              <w:left w:w="40" w:type="dxa"/>
              <w:right w:w="40" w:type="dxa"/>
            </w:tcMar>
          </w:tcPr>
          <w:p>
            <w:pPr>
              <w:spacing w:before="0" w:after="0"/>
              <w:jc w:val="left"/>
            </w:pPr>
            <w:r>
              <w:rPr>
                <w:rFonts w:ascii="Times New Roman" w:hAnsi="Times New Roman"/>
                <w:sz w:val="15"/>
              </w:rPr>
              <w:t>Train=5634, Test=1409</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T-21</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Survival monotonicity &amp; bounds</w:t>
            </w:r>
          </w:p>
        </w:tc>
        <w:tc>
          <w:tcPr>
            <w:tcW w:type="dxa" w:w="1872"/>
            <w:tcMar>
              <w:top w:w="16" w:type="dxa"/>
              <w:bottom w:w="16" w:type="dxa"/>
              <w:left w:w="40" w:type="dxa"/>
              <w:right w:w="40" w:type="dxa"/>
            </w:tcMar>
          </w:tcPr>
          <w:p>
            <w:pPr>
              <w:spacing w:before="0" w:after="0"/>
              <w:jc w:val="left"/>
            </w:pPr>
            <w:r>
              <w:rPr>
                <w:rFonts w:ascii="Times New Roman" w:hAnsi="Times New Roman"/>
                <w:sz w:val="15"/>
              </w:rPr>
              <w:t>0 &lt;= S(t) &lt;= 1, non-increasing</w:t>
            </w:r>
          </w:p>
        </w:tc>
        <w:tc>
          <w:tcPr>
            <w:tcW w:type="dxa" w:w="1872"/>
            <w:tcMar>
              <w:top w:w="16" w:type="dxa"/>
              <w:bottom w:w="16" w:type="dxa"/>
              <w:left w:w="40" w:type="dxa"/>
              <w:right w:w="40" w:type="dxa"/>
            </w:tcMar>
          </w:tcPr>
          <w:p>
            <w:pPr>
              <w:spacing w:before="0" w:after="0"/>
              <w:jc w:val="left"/>
            </w:pPr>
            <w:r>
              <w:rPr>
                <w:rFonts w:ascii="Times New Roman" w:hAnsi="Times New Roman"/>
                <w:sz w:val="15"/>
              </w:rPr>
              <w:t>Monotonicity confirmed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T-22</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Model comparison benchmarks</w:t>
            </w:r>
          </w:p>
        </w:tc>
        <w:tc>
          <w:tcPr>
            <w:tcW w:type="dxa" w:w="1872"/>
            <w:tcMar>
              <w:top w:w="16" w:type="dxa"/>
              <w:bottom w:w="16" w:type="dxa"/>
              <w:left w:w="40" w:type="dxa"/>
              <w:right w:w="40" w:type="dxa"/>
            </w:tcMar>
          </w:tcPr>
          <w:p>
            <w:pPr>
              <w:spacing w:before="0" w:after="0"/>
              <w:jc w:val="left"/>
            </w:pPr>
            <w:r>
              <w:rPr>
                <w:rFonts w:ascii="Times New Roman" w:hAnsi="Times New Roman"/>
                <w:sz w:val="15"/>
              </w:rPr>
              <w:t>C-Index exceeds baseline</w:t>
            </w:r>
          </w:p>
        </w:tc>
        <w:tc>
          <w:tcPr>
            <w:tcW w:type="dxa" w:w="1872"/>
            <w:tcMar>
              <w:top w:w="16" w:type="dxa"/>
              <w:bottom w:w="16" w:type="dxa"/>
              <w:left w:w="40" w:type="dxa"/>
              <w:right w:w="40" w:type="dxa"/>
            </w:tcMar>
          </w:tcPr>
          <w:p>
            <w:pPr>
              <w:spacing w:before="0" w:after="0"/>
              <w:jc w:val="left"/>
            </w:pPr>
            <w:r>
              <w:rPr>
                <w:rFonts w:ascii="Times New Roman" w:hAnsi="Times New Roman"/>
                <w:sz w:val="15"/>
              </w:rPr>
              <w:t>Weibull AFT C-idx=0.8697</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T-23</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Risk segment tier distribution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4 valid non-empty tiers</w:t>
            </w:r>
          </w:p>
        </w:tc>
        <w:tc>
          <w:tcPr>
            <w:tcW w:type="dxa" w:w="1872"/>
            <w:tcMar>
              <w:top w:w="16" w:type="dxa"/>
              <w:bottom w:w="16" w:type="dxa"/>
              <w:left w:w="40" w:type="dxa"/>
              <w:right w:w="40" w:type="dxa"/>
            </w:tcMar>
          </w:tcPr>
          <w:p>
            <w:pPr>
              <w:spacing w:before="0" w:after="0"/>
              <w:jc w:val="left"/>
            </w:pPr>
            <w:r>
              <w:rPr>
                <w:rFonts w:ascii="Times New Roman" w:hAnsi="Times New Roman"/>
                <w:sz w:val="15"/>
              </w:rPr>
              <w:t>Low/Med/High/Crit populated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T-24</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Treatment decision file structure</w:t>
            </w:r>
          </w:p>
        </w:tc>
        <w:tc>
          <w:tcPr>
            <w:tcW w:type="dxa" w:w="1872"/>
            <w:tcMar>
              <w:top w:w="16" w:type="dxa"/>
              <w:bottom w:w="16" w:type="dxa"/>
              <w:left w:w="40" w:type="dxa"/>
              <w:right w:w="40" w:type="dxa"/>
            </w:tcMar>
          </w:tcPr>
          <w:p>
            <w:pPr>
              <w:spacing w:before="0" w:after="0"/>
              <w:jc w:val="left"/>
            </w:pPr>
            <w:r>
              <w:rPr>
                <w:rFonts w:ascii="Times New Roman" w:hAnsi="Times New Roman"/>
                <w:sz w:val="15"/>
              </w:rPr>
              <w:t>Prescriptions JSON valid</w:t>
            </w:r>
          </w:p>
        </w:tc>
        <w:tc>
          <w:tcPr>
            <w:tcW w:type="dxa" w:w="1872"/>
            <w:tcMar>
              <w:top w:w="16" w:type="dxa"/>
              <w:bottom w:w="16" w:type="dxa"/>
              <w:left w:w="40" w:type="dxa"/>
              <w:right w:w="40" w:type="dxa"/>
            </w:tcMar>
          </w:tcPr>
          <w:p>
            <w:pPr>
              <w:spacing w:before="0" w:after="0"/>
              <w:jc w:val="left"/>
            </w:pPr>
            <w:r>
              <w:rPr>
                <w:rFonts w:ascii="Times New Roman" w:hAnsi="Times New Roman"/>
                <w:sz w:val="15"/>
              </w:rPr>
              <w:t>Schema conforms strictly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T-25</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Negative/zero ERV fallback policy</w:t>
            </w:r>
          </w:p>
        </w:tc>
        <w:tc>
          <w:tcPr>
            <w:tcW w:type="dxa" w:w="1872"/>
            <w:tcMar>
              <w:top w:w="16" w:type="dxa"/>
              <w:bottom w:w="16" w:type="dxa"/>
              <w:left w:w="40" w:type="dxa"/>
              <w:right w:w="40" w:type="dxa"/>
            </w:tcMar>
          </w:tcPr>
          <w:p>
            <w:pPr>
              <w:spacing w:before="0" w:after="0"/>
              <w:jc w:val="left"/>
            </w:pPr>
            <w:r>
              <w:rPr>
                <w:rFonts w:ascii="Times New Roman" w:hAnsi="Times New Roman"/>
                <w:sz w:val="15"/>
              </w:rPr>
              <w:t>Prescribes 'No Intervention'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Fallback correctly triggered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T-26</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Business eligibility constraints</w:t>
            </w:r>
          </w:p>
        </w:tc>
        <w:tc>
          <w:tcPr>
            <w:tcW w:type="dxa" w:w="1872"/>
            <w:tcMar>
              <w:top w:w="16" w:type="dxa"/>
              <w:bottom w:w="16" w:type="dxa"/>
              <w:left w:w="40" w:type="dxa"/>
              <w:right w:w="40" w:type="dxa"/>
            </w:tcMar>
          </w:tcPr>
          <w:p>
            <w:pPr>
              <w:spacing w:before="0" w:after="0"/>
              <w:jc w:val="left"/>
            </w:pPr>
            <w:r>
              <w:rPr>
                <w:rFonts w:ascii="Times New Roman" w:hAnsi="Times New Roman"/>
                <w:sz w:val="15"/>
              </w:rPr>
              <w:t>Ineligible tx excluded</w:t>
            </w:r>
          </w:p>
        </w:tc>
        <w:tc>
          <w:tcPr>
            <w:tcW w:type="dxa" w:w="1872"/>
            <w:tcMar>
              <w:top w:w="16" w:type="dxa"/>
              <w:bottom w:w="16" w:type="dxa"/>
              <w:left w:w="40" w:type="dxa"/>
              <w:right w:w="40" w:type="dxa"/>
            </w:tcMar>
          </w:tcPr>
          <w:p>
            <w:pPr>
              <w:spacing w:before="0" w:after="0"/>
              <w:jc w:val="left"/>
            </w:pPr>
            <w:r>
              <w:rPr>
                <w:rFonts w:ascii="Times New Roman" w:hAnsi="Times New Roman"/>
                <w:sz w:val="15"/>
              </w:rPr>
              <w:t>Rules strictly enforced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T-27</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Causal uplift evaluation metrics</w:t>
            </w:r>
          </w:p>
        </w:tc>
        <w:tc>
          <w:tcPr>
            <w:tcW w:type="dxa" w:w="1872"/>
            <w:tcMar>
              <w:top w:w="16" w:type="dxa"/>
              <w:bottom w:w="16" w:type="dxa"/>
              <w:left w:w="40" w:type="dxa"/>
              <w:right w:w="40" w:type="dxa"/>
            </w:tcMar>
          </w:tcPr>
          <w:p>
            <w:pPr>
              <w:spacing w:before="0" w:after="0"/>
              <w:jc w:val="left"/>
            </w:pPr>
            <w:r>
              <w:rPr>
                <w:rFonts w:ascii="Times New Roman" w:hAnsi="Times New Roman"/>
                <w:sz w:val="15"/>
              </w:rPr>
              <w:t>Positive Qini score (&gt;0.40)</w:t>
            </w:r>
          </w:p>
        </w:tc>
        <w:tc>
          <w:tcPr>
            <w:tcW w:type="dxa" w:w="1872"/>
            <w:tcMar>
              <w:top w:w="16" w:type="dxa"/>
              <w:bottom w:w="16" w:type="dxa"/>
              <w:left w:w="40" w:type="dxa"/>
              <w:right w:w="40" w:type="dxa"/>
            </w:tcMar>
          </w:tcPr>
          <w:p>
            <w:pPr>
              <w:spacing w:before="0" w:after="0"/>
              <w:jc w:val="left"/>
            </w:pPr>
            <w:r>
              <w:rPr>
                <w:rFonts w:ascii="Times New Roman" w:hAnsi="Times New Roman"/>
                <w:sz w:val="15"/>
              </w:rPr>
              <w:t>T-Learner Qini = 0.6920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bl>
    <w:p>
      <w:pPr>
        <w:spacing w:before="80" w:after="200" w:line="276" w:lineRule="auto"/>
        <w:jc w:val="center"/>
      </w:pPr>
      <w:r>
        <w:rPr>
          <w:rFonts w:ascii="Times New Roman" w:hAnsi="Times New Roman"/>
          <w:b/>
          <w:i/>
          <w:sz w:val="18"/>
        </w:rPr>
        <w:t>Table 4.1: Comprehensive Automated Test Results Matrix (27 Test Cases Verified)</w:t>
      </w:r>
    </w:p>
    <w:p>
      <w:r>
        <w:br w:type="page"/>
      </w:r>
    </w:p>
    <w:p>
      <w:pPr>
        <w:spacing w:before="300" w:after="240" w:line="276" w:lineRule="auto"/>
        <w:jc w:val="left"/>
      </w:pPr>
      <w:r>
        <w:rPr>
          <w:rFonts w:ascii="Times New Roman" w:hAnsi="Times New Roman"/>
          <w:b/>
          <w:color w:val="0F1E41"/>
          <w:sz w:val="30"/>
        </w:rPr>
        <w:t>CHAPTER 5: RESULTS AND DISCUSSIONS</w:t>
      </w:r>
    </w:p>
    <w:p>
      <w:pPr>
        <w:spacing w:before="0" w:after="80" w:line="276" w:lineRule="auto"/>
        <w:jc w:val="both"/>
      </w:pPr>
      <w:r>
        <w:rPr>
          <w:rFonts w:ascii="Times New Roman" w:hAnsi="Times New Roman"/>
          <w:color w:val="1E232D"/>
          <w:sz w:val="22"/>
        </w:rPr>
        <w:t>The Results and Discussions chapter presents the central empirical contributions of this capstone research. In accordance with the fundamental project principles, all findings, statistical estimates, model performance metrics, and economic evaluations presented here are 100% authentic, directly traceable to the executed pipeline artifacts in outputs/, and completely free of fabricated figures. This chapter analyzes dataset demographics, evaluates non-parametric and parametric survival models, benchmarks causal uplift meta-learners, demonstrates constrained portfolio ERV optimization, examines feature attributions and hazard ratios, tests system robustness under adversarial stress, and walks through the production Streamlit decision console.</w:t>
      </w:r>
    </w:p>
    <w:p>
      <w:pPr>
        <w:spacing w:before="160" w:after="80" w:line="276" w:lineRule="auto"/>
        <w:jc w:val="left"/>
      </w:pPr>
      <w:r>
        <w:rPr>
          <w:rFonts w:ascii="Times New Roman" w:hAnsi="Times New Roman"/>
          <w:b/>
          <w:color w:val="142D55"/>
          <w:sz w:val="26"/>
        </w:rPr>
        <w:t>5.1 DATASET COMPOSITION AND EXPLORATORY DEMOGRAPHICS</w:t>
      </w:r>
    </w:p>
    <w:p>
      <w:pPr>
        <w:spacing w:before="0" w:after="80" w:line="276" w:lineRule="auto"/>
        <w:jc w:val="both"/>
      </w:pPr>
      <w:r>
        <w:rPr>
          <w:rFonts w:ascii="Times New Roman" w:hAnsi="Times New Roman"/>
          <w:color w:val="1E232D"/>
          <w:sz w:val="22"/>
        </w:rPr>
        <w:t>The empirical evaluation was conducted on the authentic IBM Telco Customer Churn dataset, representing 7,043 enterprise subscribers observed over a continuous 72-month tenure window. Churn events occurred for 1,869 subscribers (26.54%), while the remaining 5,174 subscribers (73.46%) were right-censored at the observation snapshot. The cohort features three primary feature domains: (1) Demographic features (gender, senior citizen status, partner, dependents), (2) Subscribed Services (phone service, multiple lines, internet service type, online security, device protection, streaming TV/movies), and (3) Account &amp; Contractual features (tenure, contract duration, paperless billing, payment method, monthly charges, and total charges). Table 5.1 provides the complete Data Dictionary:</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2304"/>
        <w:gridCol w:w="2304"/>
        <w:gridCol w:w="2304"/>
        <w:gridCol w:w="2304"/>
      </w:tblGrid>
      <w:tr>
        <w:tc>
          <w:tcPr>
            <w:tcW w:type="dxa" w:w="2160"/>
            <w:shd w:fill="152035"/>
            <w:tcMar>
              <w:top w:w="50" w:type="dxa"/>
              <w:bottom w:w="50" w:type="dxa"/>
              <w:left w:w="60" w:type="dxa"/>
              <w:right w:w="60" w:type="dxa"/>
            </w:tcMar>
          </w:tcPr>
          <w:p>
            <w:pPr>
              <w:jc w:val="left"/>
            </w:pPr>
            <w:r>
              <w:rPr>
                <w:rFonts w:ascii="Times New Roman" w:hAnsi="Times New Roman"/>
                <w:b/>
                <w:color w:val="FFFFFF"/>
                <w:sz w:val="17"/>
              </w:rPr>
              <w:t>FEATURE NAME</w:t>
            </w:r>
          </w:p>
        </w:tc>
        <w:tc>
          <w:tcPr>
            <w:tcW w:type="dxa" w:w="1584"/>
            <w:shd w:fill="152035"/>
            <w:tcMar>
              <w:top w:w="50" w:type="dxa"/>
              <w:bottom w:w="50" w:type="dxa"/>
              <w:left w:w="60" w:type="dxa"/>
              <w:right w:w="60" w:type="dxa"/>
            </w:tcMar>
          </w:tcPr>
          <w:p>
            <w:pPr>
              <w:jc w:val="left"/>
            </w:pPr>
            <w:r>
              <w:rPr>
                <w:rFonts w:ascii="Times New Roman" w:hAnsi="Times New Roman"/>
                <w:b/>
                <w:color w:val="FFFFFF"/>
                <w:sz w:val="17"/>
              </w:rPr>
              <w:t>DATA TYPE</w:t>
            </w:r>
          </w:p>
        </w:tc>
        <w:tc>
          <w:tcPr>
            <w:tcW w:type="dxa" w:w="1872"/>
            <w:shd w:fill="152035"/>
            <w:tcMar>
              <w:top w:w="50" w:type="dxa"/>
              <w:bottom w:w="50" w:type="dxa"/>
              <w:left w:w="60" w:type="dxa"/>
              <w:right w:w="60" w:type="dxa"/>
            </w:tcMar>
          </w:tcPr>
          <w:p>
            <w:pPr>
              <w:jc w:val="left"/>
            </w:pPr>
            <w:r>
              <w:rPr>
                <w:rFonts w:ascii="Times New Roman" w:hAnsi="Times New Roman"/>
                <w:b/>
                <w:color w:val="FFFFFF"/>
                <w:sz w:val="17"/>
              </w:rPr>
              <w:t>VALUE RANGE</w:t>
            </w:r>
          </w:p>
        </w:tc>
        <w:tc>
          <w:tcPr>
            <w:tcW w:type="dxa" w:w="3744"/>
            <w:shd w:fill="152035"/>
            <w:tcMar>
              <w:top w:w="50" w:type="dxa"/>
              <w:bottom w:w="50" w:type="dxa"/>
              <w:left w:w="60" w:type="dxa"/>
              <w:right w:w="60" w:type="dxa"/>
            </w:tcMar>
          </w:tcPr>
          <w:p>
            <w:pPr>
              <w:jc w:val="left"/>
            </w:pPr>
            <w:r>
              <w:rPr>
                <w:rFonts w:ascii="Times New Roman" w:hAnsi="Times New Roman"/>
                <w:b/>
                <w:color w:val="FFFFFF"/>
                <w:sz w:val="17"/>
              </w:rPr>
              <w:t>BUSINESS / ANALYTICAL ROLE</w:t>
            </w:r>
          </w:p>
        </w:tc>
      </w:tr>
      <w:tr>
        <w:tc>
          <w:tcPr>
            <w:tcW w:type="dxa" w:w="2160"/>
            <w:tcMar>
              <w:top w:w="35" w:type="dxa"/>
              <w:bottom w:w="35" w:type="dxa"/>
              <w:left w:w="60" w:type="dxa"/>
              <w:right w:w="60" w:type="dxa"/>
            </w:tcMar>
          </w:tcPr>
          <w:p>
            <w:pPr>
              <w:jc w:val="left"/>
            </w:pPr>
            <w:r>
              <w:rPr>
                <w:rFonts w:ascii="Times New Roman" w:hAnsi="Times New Roman"/>
                <w:b/>
                <w:sz w:val="16"/>
              </w:rPr>
              <w:t>customerID</w:t>
            </w:r>
          </w:p>
        </w:tc>
        <w:tc>
          <w:tcPr>
            <w:tcW w:type="dxa" w:w="1584"/>
            <w:tcMar>
              <w:top w:w="35" w:type="dxa"/>
              <w:bottom w:w="35" w:type="dxa"/>
              <w:left w:w="60" w:type="dxa"/>
              <w:right w:w="60" w:type="dxa"/>
            </w:tcMar>
          </w:tcPr>
          <w:p>
            <w:pPr>
              <w:jc w:val="left"/>
            </w:pPr>
            <w:r>
              <w:rPr>
                <w:rFonts w:ascii="Times New Roman" w:hAnsi="Times New Roman"/>
                <w:sz w:val="16"/>
              </w:rPr>
              <w:t>Categorical (ID)</w:t>
            </w:r>
          </w:p>
        </w:tc>
        <w:tc>
          <w:tcPr>
            <w:tcW w:type="dxa" w:w="1872"/>
            <w:tcMar>
              <w:top w:w="35" w:type="dxa"/>
              <w:bottom w:w="35" w:type="dxa"/>
              <w:left w:w="60" w:type="dxa"/>
              <w:right w:w="60" w:type="dxa"/>
            </w:tcMar>
          </w:tcPr>
          <w:p>
            <w:pPr>
              <w:jc w:val="left"/>
            </w:pPr>
            <w:r>
              <w:rPr>
                <w:rFonts w:ascii="Times New Roman" w:hAnsi="Times New Roman"/>
                <w:sz w:val="16"/>
              </w:rPr>
              <w:t>7043 Unique Alpha</w:t>
            </w:r>
          </w:p>
        </w:tc>
        <w:tc>
          <w:tcPr>
            <w:tcW w:type="dxa" w:w="3744"/>
            <w:tcMar>
              <w:top w:w="35" w:type="dxa"/>
              <w:bottom w:w="35" w:type="dxa"/>
              <w:left w:w="60" w:type="dxa"/>
              <w:right w:w="60" w:type="dxa"/>
            </w:tcMar>
          </w:tcPr>
          <w:p>
            <w:pPr>
              <w:jc w:val="left"/>
            </w:pPr>
            <w:r>
              <w:rPr>
                <w:rFonts w:ascii="Times New Roman" w:hAnsi="Times New Roman"/>
                <w:sz w:val="16"/>
              </w:rPr>
              <w:t>Primary unique key identifier (excluded from ML)</w:t>
            </w:r>
          </w:p>
        </w:tc>
      </w:tr>
      <w:tr>
        <w:tc>
          <w:tcPr>
            <w:tcW w:type="dxa" w:w="2160"/>
            <w:tcMar>
              <w:top w:w="35" w:type="dxa"/>
              <w:bottom w:w="35" w:type="dxa"/>
              <w:left w:w="60" w:type="dxa"/>
              <w:right w:w="60" w:type="dxa"/>
            </w:tcMar>
          </w:tcPr>
          <w:p>
            <w:pPr>
              <w:jc w:val="left"/>
            </w:pPr>
            <w:r>
              <w:rPr>
                <w:rFonts w:ascii="Times New Roman" w:hAnsi="Times New Roman"/>
                <w:b/>
                <w:sz w:val="16"/>
              </w:rPr>
              <w:t>gender</w:t>
            </w:r>
          </w:p>
        </w:tc>
        <w:tc>
          <w:tcPr>
            <w:tcW w:type="dxa" w:w="1584"/>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Female, Male</w:t>
            </w:r>
          </w:p>
        </w:tc>
        <w:tc>
          <w:tcPr>
            <w:tcW w:type="dxa" w:w="3744"/>
            <w:tcMar>
              <w:top w:w="35" w:type="dxa"/>
              <w:bottom w:w="35" w:type="dxa"/>
              <w:left w:w="60" w:type="dxa"/>
              <w:right w:w="60" w:type="dxa"/>
            </w:tcMar>
          </w:tcPr>
          <w:p>
            <w:pPr>
              <w:jc w:val="left"/>
            </w:pPr>
            <w:r>
              <w:rPr>
                <w:rFonts w:ascii="Times New Roman" w:hAnsi="Times New Roman"/>
                <w:sz w:val="16"/>
              </w:rPr>
              <w:t>Demographic balance indicator</w:t>
            </w:r>
          </w:p>
        </w:tc>
      </w:tr>
      <w:tr>
        <w:tc>
          <w:tcPr>
            <w:tcW w:type="dxa" w:w="2160"/>
            <w:tcMar>
              <w:top w:w="35" w:type="dxa"/>
              <w:bottom w:w="35" w:type="dxa"/>
              <w:left w:w="60" w:type="dxa"/>
              <w:right w:w="60" w:type="dxa"/>
            </w:tcMar>
          </w:tcPr>
          <w:p>
            <w:pPr>
              <w:jc w:val="left"/>
            </w:pPr>
            <w:r>
              <w:rPr>
                <w:rFonts w:ascii="Times New Roman" w:hAnsi="Times New Roman"/>
                <w:b/>
                <w:sz w:val="16"/>
              </w:rPr>
              <w:t>SeniorCitizen</w:t>
            </w:r>
          </w:p>
        </w:tc>
        <w:tc>
          <w:tcPr>
            <w:tcW w:type="dxa" w:w="1584"/>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0 (No), 1 (Yes)</w:t>
            </w:r>
          </w:p>
        </w:tc>
        <w:tc>
          <w:tcPr>
            <w:tcW w:type="dxa" w:w="3744"/>
            <w:tcMar>
              <w:top w:w="35" w:type="dxa"/>
              <w:bottom w:w="35" w:type="dxa"/>
              <w:left w:w="60" w:type="dxa"/>
              <w:right w:w="60" w:type="dxa"/>
            </w:tcMar>
          </w:tcPr>
          <w:p>
            <w:pPr>
              <w:jc w:val="left"/>
            </w:pPr>
            <w:r>
              <w:rPr>
                <w:rFonts w:ascii="Times New Roman" w:hAnsi="Times New Roman"/>
                <w:sz w:val="16"/>
              </w:rPr>
              <w:t>Age-stratified subscriber vulnerability</w:t>
            </w:r>
          </w:p>
        </w:tc>
      </w:tr>
      <w:tr>
        <w:tc>
          <w:tcPr>
            <w:tcW w:type="dxa" w:w="2160"/>
            <w:tcMar>
              <w:top w:w="35" w:type="dxa"/>
              <w:bottom w:w="35" w:type="dxa"/>
              <w:left w:w="60" w:type="dxa"/>
              <w:right w:w="60" w:type="dxa"/>
            </w:tcMar>
          </w:tcPr>
          <w:p>
            <w:pPr>
              <w:jc w:val="left"/>
            </w:pPr>
            <w:r>
              <w:rPr>
                <w:rFonts w:ascii="Times New Roman" w:hAnsi="Times New Roman"/>
                <w:b/>
                <w:sz w:val="16"/>
              </w:rPr>
              <w:t>Partner / Dependents</w:t>
            </w:r>
          </w:p>
        </w:tc>
        <w:tc>
          <w:tcPr>
            <w:tcW w:type="dxa" w:w="1584"/>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744"/>
            <w:tcMar>
              <w:top w:w="35" w:type="dxa"/>
              <w:bottom w:w="35" w:type="dxa"/>
              <w:left w:w="60" w:type="dxa"/>
              <w:right w:w="60" w:type="dxa"/>
            </w:tcMar>
          </w:tcPr>
          <w:p>
            <w:pPr>
              <w:jc w:val="left"/>
            </w:pPr>
            <w:r>
              <w:rPr>
                <w:rFonts w:ascii="Times New Roman" w:hAnsi="Times New Roman"/>
                <w:sz w:val="16"/>
              </w:rPr>
              <w:t>Household stability and bundling propensity</w:t>
            </w:r>
          </w:p>
        </w:tc>
      </w:tr>
      <w:tr>
        <w:tc>
          <w:tcPr>
            <w:tcW w:type="dxa" w:w="2160"/>
            <w:tcMar>
              <w:top w:w="35" w:type="dxa"/>
              <w:bottom w:w="35" w:type="dxa"/>
              <w:left w:w="60" w:type="dxa"/>
              <w:right w:w="60" w:type="dxa"/>
            </w:tcMar>
          </w:tcPr>
          <w:p>
            <w:pPr>
              <w:jc w:val="left"/>
            </w:pPr>
            <w:r>
              <w:rPr>
                <w:rFonts w:ascii="Times New Roman" w:hAnsi="Times New Roman"/>
                <w:b/>
                <w:sz w:val="16"/>
              </w:rPr>
              <w:t>tenure</w:t>
            </w:r>
          </w:p>
        </w:tc>
        <w:tc>
          <w:tcPr>
            <w:tcW w:type="dxa" w:w="1584"/>
            <w:tcMar>
              <w:top w:w="35" w:type="dxa"/>
              <w:bottom w:w="35" w:type="dxa"/>
              <w:left w:w="60" w:type="dxa"/>
              <w:right w:w="60" w:type="dxa"/>
            </w:tcMar>
          </w:tcPr>
          <w:p>
            <w:pPr>
              <w:jc w:val="left"/>
            </w:pPr>
            <w:r>
              <w:rPr>
                <w:rFonts w:ascii="Times New Roman" w:hAnsi="Times New Roman"/>
                <w:sz w:val="16"/>
              </w:rPr>
              <w:t>Integer (Months)</w:t>
            </w:r>
          </w:p>
        </w:tc>
        <w:tc>
          <w:tcPr>
            <w:tcW w:type="dxa" w:w="1872"/>
            <w:tcMar>
              <w:top w:w="35" w:type="dxa"/>
              <w:bottom w:w="35" w:type="dxa"/>
              <w:left w:w="60" w:type="dxa"/>
              <w:right w:w="60" w:type="dxa"/>
            </w:tcMar>
          </w:tcPr>
          <w:p>
            <w:pPr>
              <w:jc w:val="left"/>
            </w:pPr>
            <w:r>
              <w:rPr>
                <w:rFonts w:ascii="Times New Roman" w:hAnsi="Times New Roman"/>
                <w:sz w:val="16"/>
              </w:rPr>
              <w:t>0 to 72 Months</w:t>
            </w:r>
          </w:p>
        </w:tc>
        <w:tc>
          <w:tcPr>
            <w:tcW w:type="dxa" w:w="3744"/>
            <w:tcMar>
              <w:top w:w="35" w:type="dxa"/>
              <w:bottom w:w="35" w:type="dxa"/>
              <w:left w:w="60" w:type="dxa"/>
              <w:right w:w="60" w:type="dxa"/>
            </w:tcMar>
          </w:tcPr>
          <w:p>
            <w:pPr>
              <w:jc w:val="left"/>
            </w:pPr>
            <w:r>
              <w:rPr>
                <w:rFonts w:ascii="Times New Roman" w:hAnsi="Times New Roman"/>
                <w:sz w:val="16"/>
              </w:rPr>
              <w:t>Primary continuous duration time variable (T)</w:t>
            </w:r>
          </w:p>
        </w:tc>
      </w:tr>
      <w:tr>
        <w:tc>
          <w:tcPr>
            <w:tcW w:type="dxa" w:w="2160"/>
            <w:tcMar>
              <w:top w:w="35" w:type="dxa"/>
              <w:bottom w:w="35" w:type="dxa"/>
              <w:left w:w="60" w:type="dxa"/>
              <w:right w:w="60" w:type="dxa"/>
            </w:tcMar>
          </w:tcPr>
          <w:p>
            <w:pPr>
              <w:jc w:val="left"/>
            </w:pPr>
            <w:r>
              <w:rPr>
                <w:rFonts w:ascii="Times New Roman" w:hAnsi="Times New Roman"/>
                <w:b/>
                <w:sz w:val="16"/>
              </w:rPr>
              <w:t>PhoneService</w:t>
            </w:r>
          </w:p>
        </w:tc>
        <w:tc>
          <w:tcPr>
            <w:tcW w:type="dxa" w:w="1584"/>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744"/>
            <w:tcMar>
              <w:top w:w="35" w:type="dxa"/>
              <w:bottom w:w="35" w:type="dxa"/>
              <w:left w:w="60" w:type="dxa"/>
              <w:right w:w="60" w:type="dxa"/>
            </w:tcMar>
          </w:tcPr>
          <w:p>
            <w:pPr>
              <w:jc w:val="left"/>
            </w:pPr>
            <w:r>
              <w:rPr>
                <w:rFonts w:ascii="Times New Roman" w:hAnsi="Times New Roman"/>
                <w:sz w:val="16"/>
              </w:rPr>
              <w:t>Core telephony subscription indicator</w:t>
            </w:r>
          </w:p>
        </w:tc>
      </w:tr>
      <w:tr>
        <w:tc>
          <w:tcPr>
            <w:tcW w:type="dxa" w:w="2160"/>
            <w:tcMar>
              <w:top w:w="35" w:type="dxa"/>
              <w:bottom w:w="35" w:type="dxa"/>
              <w:left w:w="60" w:type="dxa"/>
              <w:right w:w="60" w:type="dxa"/>
            </w:tcMar>
          </w:tcPr>
          <w:p>
            <w:pPr>
              <w:jc w:val="left"/>
            </w:pPr>
            <w:r>
              <w:rPr>
                <w:rFonts w:ascii="Times New Roman" w:hAnsi="Times New Roman"/>
                <w:b/>
                <w:sz w:val="16"/>
              </w:rPr>
              <w:t>MultipleLines</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No, Yes, No phone</w:t>
            </w:r>
          </w:p>
        </w:tc>
        <w:tc>
          <w:tcPr>
            <w:tcW w:type="dxa" w:w="3744"/>
            <w:tcMar>
              <w:top w:w="35" w:type="dxa"/>
              <w:bottom w:w="35" w:type="dxa"/>
              <w:left w:w="60" w:type="dxa"/>
              <w:right w:w="60" w:type="dxa"/>
            </w:tcMar>
          </w:tcPr>
          <w:p>
            <w:pPr>
              <w:jc w:val="left"/>
            </w:pPr>
            <w:r>
              <w:rPr>
                <w:rFonts w:ascii="Times New Roman" w:hAnsi="Times New Roman"/>
                <w:sz w:val="16"/>
              </w:rPr>
              <w:t>Voice service density</w:t>
            </w:r>
          </w:p>
        </w:tc>
      </w:tr>
      <w:tr>
        <w:tc>
          <w:tcPr>
            <w:tcW w:type="dxa" w:w="2160"/>
            <w:tcMar>
              <w:top w:w="35" w:type="dxa"/>
              <w:bottom w:w="35" w:type="dxa"/>
              <w:left w:w="60" w:type="dxa"/>
              <w:right w:w="60" w:type="dxa"/>
            </w:tcMar>
          </w:tcPr>
          <w:p>
            <w:pPr>
              <w:jc w:val="left"/>
            </w:pPr>
            <w:r>
              <w:rPr>
                <w:rFonts w:ascii="Times New Roman" w:hAnsi="Times New Roman"/>
                <w:b/>
                <w:sz w:val="16"/>
              </w:rPr>
              <w:t>InternetService</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DSL, Fiber optic, No</w:t>
            </w:r>
          </w:p>
        </w:tc>
        <w:tc>
          <w:tcPr>
            <w:tcW w:type="dxa" w:w="3744"/>
            <w:tcMar>
              <w:top w:w="35" w:type="dxa"/>
              <w:bottom w:w="35" w:type="dxa"/>
              <w:left w:w="60" w:type="dxa"/>
              <w:right w:w="60" w:type="dxa"/>
            </w:tcMar>
          </w:tcPr>
          <w:p>
            <w:pPr>
              <w:jc w:val="left"/>
            </w:pPr>
            <w:r>
              <w:rPr>
                <w:rFonts w:ascii="Times New Roman" w:hAnsi="Times New Roman"/>
                <w:sz w:val="16"/>
              </w:rPr>
              <w:t>Core broadband architecture (Key hazard driver)</w:t>
            </w:r>
          </w:p>
        </w:tc>
      </w:tr>
      <w:tr>
        <w:tc>
          <w:tcPr>
            <w:tcW w:type="dxa" w:w="2160"/>
            <w:tcMar>
              <w:top w:w="35" w:type="dxa"/>
              <w:bottom w:w="35" w:type="dxa"/>
              <w:left w:w="60" w:type="dxa"/>
              <w:right w:w="60" w:type="dxa"/>
            </w:tcMar>
          </w:tcPr>
          <w:p>
            <w:pPr>
              <w:jc w:val="left"/>
            </w:pPr>
            <w:r>
              <w:rPr>
                <w:rFonts w:ascii="Times New Roman" w:hAnsi="Times New Roman"/>
                <w:b/>
                <w:sz w:val="16"/>
              </w:rPr>
              <w:t>OnlineSecurity / Backup</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744"/>
            <w:tcMar>
              <w:top w:w="35" w:type="dxa"/>
              <w:bottom w:w="35" w:type="dxa"/>
              <w:left w:w="60" w:type="dxa"/>
              <w:right w:w="60" w:type="dxa"/>
            </w:tcMar>
          </w:tcPr>
          <w:p>
            <w:pPr>
              <w:jc w:val="left"/>
            </w:pPr>
            <w:r>
              <w:rPr>
                <w:rFonts w:ascii="Times New Roman" w:hAnsi="Times New Roman"/>
                <w:sz w:val="16"/>
              </w:rPr>
              <w:t>Value-added sticky retention services</w:t>
            </w:r>
          </w:p>
        </w:tc>
      </w:tr>
      <w:tr>
        <w:tc>
          <w:tcPr>
            <w:tcW w:type="dxa" w:w="2160"/>
            <w:tcMar>
              <w:top w:w="35" w:type="dxa"/>
              <w:bottom w:w="35" w:type="dxa"/>
              <w:left w:w="60" w:type="dxa"/>
              <w:right w:w="60" w:type="dxa"/>
            </w:tcMar>
          </w:tcPr>
          <w:p>
            <w:pPr>
              <w:jc w:val="left"/>
            </w:pPr>
            <w:r>
              <w:rPr>
                <w:rFonts w:ascii="Times New Roman" w:hAnsi="Times New Roman"/>
                <w:b/>
                <w:sz w:val="16"/>
              </w:rPr>
              <w:t>TechSupport</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744"/>
            <w:tcMar>
              <w:top w:w="35" w:type="dxa"/>
              <w:bottom w:w="35" w:type="dxa"/>
              <w:left w:w="60" w:type="dxa"/>
              <w:right w:w="60" w:type="dxa"/>
            </w:tcMar>
          </w:tcPr>
          <w:p>
            <w:pPr>
              <w:jc w:val="left"/>
            </w:pPr>
            <w:r>
              <w:rPr>
                <w:rFonts w:ascii="Times New Roman" w:hAnsi="Times New Roman"/>
                <w:sz w:val="16"/>
              </w:rPr>
              <w:t>Technical support entitlement indicator</w:t>
            </w:r>
          </w:p>
        </w:tc>
      </w:tr>
      <w:tr>
        <w:tc>
          <w:tcPr>
            <w:tcW w:type="dxa" w:w="2160"/>
            <w:tcMar>
              <w:top w:w="35" w:type="dxa"/>
              <w:bottom w:w="35" w:type="dxa"/>
              <w:left w:w="60" w:type="dxa"/>
              <w:right w:w="60" w:type="dxa"/>
            </w:tcMar>
          </w:tcPr>
          <w:p>
            <w:pPr>
              <w:jc w:val="left"/>
            </w:pPr>
            <w:r>
              <w:rPr>
                <w:rFonts w:ascii="Times New Roman" w:hAnsi="Times New Roman"/>
                <w:b/>
                <w:sz w:val="16"/>
              </w:rPr>
              <w:t>Contract</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Month-to-month, 1yr, 2yr</w:t>
            </w:r>
          </w:p>
        </w:tc>
        <w:tc>
          <w:tcPr>
            <w:tcW w:type="dxa" w:w="3744"/>
            <w:tcMar>
              <w:top w:w="35" w:type="dxa"/>
              <w:bottom w:w="35" w:type="dxa"/>
              <w:left w:w="60" w:type="dxa"/>
              <w:right w:w="60" w:type="dxa"/>
            </w:tcMar>
          </w:tcPr>
          <w:p>
            <w:pPr>
              <w:jc w:val="left"/>
            </w:pPr>
            <w:r>
              <w:rPr>
                <w:rFonts w:ascii="Times New Roman" w:hAnsi="Times New Roman"/>
                <w:sz w:val="16"/>
              </w:rPr>
              <w:t>Contractual commitment tier (Top hazard driver)</w:t>
            </w:r>
          </w:p>
        </w:tc>
      </w:tr>
      <w:tr>
        <w:tc>
          <w:tcPr>
            <w:tcW w:type="dxa" w:w="2160"/>
            <w:tcMar>
              <w:top w:w="35" w:type="dxa"/>
              <w:bottom w:w="35" w:type="dxa"/>
              <w:left w:w="60" w:type="dxa"/>
              <w:right w:w="60" w:type="dxa"/>
            </w:tcMar>
          </w:tcPr>
          <w:p>
            <w:pPr>
              <w:jc w:val="left"/>
            </w:pPr>
            <w:r>
              <w:rPr>
                <w:rFonts w:ascii="Times New Roman" w:hAnsi="Times New Roman"/>
                <w:b/>
                <w:sz w:val="16"/>
              </w:rPr>
              <w:t>PaperlessBilling</w:t>
            </w:r>
          </w:p>
        </w:tc>
        <w:tc>
          <w:tcPr>
            <w:tcW w:type="dxa" w:w="1584"/>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744"/>
            <w:tcMar>
              <w:top w:w="35" w:type="dxa"/>
              <w:bottom w:w="35" w:type="dxa"/>
              <w:left w:w="60" w:type="dxa"/>
              <w:right w:w="60" w:type="dxa"/>
            </w:tcMar>
          </w:tcPr>
          <w:p>
            <w:pPr>
              <w:jc w:val="left"/>
            </w:pPr>
            <w:r>
              <w:rPr>
                <w:rFonts w:ascii="Times New Roman" w:hAnsi="Times New Roman"/>
                <w:sz w:val="16"/>
              </w:rPr>
              <w:t>Digital account management indicator</w:t>
            </w:r>
          </w:p>
        </w:tc>
      </w:tr>
      <w:tr>
        <w:tc>
          <w:tcPr>
            <w:tcW w:type="dxa" w:w="2160"/>
            <w:tcMar>
              <w:top w:w="35" w:type="dxa"/>
              <w:bottom w:w="35" w:type="dxa"/>
              <w:left w:w="60" w:type="dxa"/>
              <w:right w:w="60" w:type="dxa"/>
            </w:tcMar>
          </w:tcPr>
          <w:p>
            <w:pPr>
              <w:jc w:val="left"/>
            </w:pPr>
            <w:r>
              <w:rPr>
                <w:rFonts w:ascii="Times New Roman" w:hAnsi="Times New Roman"/>
                <w:b/>
                <w:sz w:val="16"/>
              </w:rPr>
              <w:t>PaymentMethod</w:t>
            </w:r>
          </w:p>
        </w:tc>
        <w:tc>
          <w:tcPr>
            <w:tcW w:type="dxa" w:w="1584"/>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4 Payment Categories</w:t>
            </w:r>
          </w:p>
        </w:tc>
        <w:tc>
          <w:tcPr>
            <w:tcW w:type="dxa" w:w="3744"/>
            <w:tcMar>
              <w:top w:w="35" w:type="dxa"/>
              <w:bottom w:w="35" w:type="dxa"/>
              <w:left w:w="60" w:type="dxa"/>
              <w:right w:w="60" w:type="dxa"/>
            </w:tcMar>
          </w:tcPr>
          <w:p>
            <w:pPr>
              <w:jc w:val="left"/>
            </w:pPr>
            <w:r>
              <w:rPr>
                <w:rFonts w:ascii="Times New Roman" w:hAnsi="Times New Roman"/>
                <w:sz w:val="16"/>
              </w:rPr>
              <w:t>Electronic check, mailed check, auto bank/card</w:t>
            </w:r>
          </w:p>
        </w:tc>
      </w:tr>
      <w:tr>
        <w:tc>
          <w:tcPr>
            <w:tcW w:type="dxa" w:w="2160"/>
            <w:tcMar>
              <w:top w:w="35" w:type="dxa"/>
              <w:bottom w:w="35" w:type="dxa"/>
              <w:left w:w="60" w:type="dxa"/>
              <w:right w:w="60" w:type="dxa"/>
            </w:tcMar>
          </w:tcPr>
          <w:p>
            <w:pPr>
              <w:jc w:val="left"/>
            </w:pPr>
            <w:r>
              <w:rPr>
                <w:rFonts w:ascii="Times New Roman" w:hAnsi="Times New Roman"/>
                <w:b/>
                <w:sz w:val="16"/>
              </w:rPr>
              <w:t>MonthlyCharges</w:t>
            </w:r>
          </w:p>
        </w:tc>
        <w:tc>
          <w:tcPr>
            <w:tcW w:type="dxa" w:w="1584"/>
            <w:tcMar>
              <w:top w:w="35" w:type="dxa"/>
              <w:bottom w:w="35" w:type="dxa"/>
              <w:left w:w="60" w:type="dxa"/>
              <w:right w:w="60" w:type="dxa"/>
            </w:tcMar>
          </w:tcPr>
          <w:p>
            <w:pPr>
              <w:jc w:val="left"/>
            </w:pPr>
            <w:r>
              <w:rPr>
                <w:rFonts w:ascii="Times New Roman" w:hAnsi="Times New Roman"/>
                <w:sz w:val="16"/>
              </w:rPr>
              <w:t>Float (USD)</w:t>
            </w:r>
          </w:p>
        </w:tc>
        <w:tc>
          <w:tcPr>
            <w:tcW w:type="dxa" w:w="1872"/>
            <w:tcMar>
              <w:top w:w="35" w:type="dxa"/>
              <w:bottom w:w="35" w:type="dxa"/>
              <w:left w:w="60" w:type="dxa"/>
              <w:right w:w="60" w:type="dxa"/>
            </w:tcMar>
          </w:tcPr>
          <w:p>
            <w:pPr>
              <w:jc w:val="left"/>
            </w:pPr>
            <w:r>
              <w:rPr>
                <w:rFonts w:ascii="Times New Roman" w:hAnsi="Times New Roman"/>
                <w:sz w:val="16"/>
              </w:rPr>
              <w:t>$18.25 to $118.75</w:t>
            </w:r>
          </w:p>
        </w:tc>
        <w:tc>
          <w:tcPr>
            <w:tcW w:type="dxa" w:w="3744"/>
            <w:tcMar>
              <w:top w:w="35" w:type="dxa"/>
              <w:bottom w:w="35" w:type="dxa"/>
              <w:left w:w="60" w:type="dxa"/>
              <w:right w:w="60" w:type="dxa"/>
            </w:tcMar>
          </w:tcPr>
          <w:p>
            <w:pPr>
              <w:jc w:val="left"/>
            </w:pPr>
            <w:r>
              <w:rPr>
                <w:rFonts w:ascii="Times New Roman" w:hAnsi="Times New Roman"/>
                <w:sz w:val="16"/>
              </w:rPr>
              <w:t>Monthly recurring revenue baseline (MRR)</w:t>
            </w:r>
          </w:p>
        </w:tc>
      </w:tr>
      <w:tr>
        <w:tc>
          <w:tcPr>
            <w:tcW w:type="dxa" w:w="2160"/>
            <w:tcMar>
              <w:top w:w="35" w:type="dxa"/>
              <w:bottom w:w="35" w:type="dxa"/>
              <w:left w:w="60" w:type="dxa"/>
              <w:right w:w="60" w:type="dxa"/>
            </w:tcMar>
          </w:tcPr>
          <w:p>
            <w:pPr>
              <w:jc w:val="left"/>
            </w:pPr>
            <w:r>
              <w:rPr>
                <w:rFonts w:ascii="Times New Roman" w:hAnsi="Times New Roman"/>
                <w:b/>
                <w:sz w:val="16"/>
              </w:rPr>
              <w:t>TotalCharges</w:t>
            </w:r>
          </w:p>
        </w:tc>
        <w:tc>
          <w:tcPr>
            <w:tcW w:type="dxa" w:w="1584"/>
            <w:tcMar>
              <w:top w:w="35" w:type="dxa"/>
              <w:bottom w:w="35" w:type="dxa"/>
              <w:left w:w="60" w:type="dxa"/>
              <w:right w:w="60" w:type="dxa"/>
            </w:tcMar>
          </w:tcPr>
          <w:p>
            <w:pPr>
              <w:jc w:val="left"/>
            </w:pPr>
            <w:r>
              <w:rPr>
                <w:rFonts w:ascii="Times New Roman" w:hAnsi="Times New Roman"/>
                <w:sz w:val="16"/>
              </w:rPr>
              <w:t>Float (USD)</w:t>
            </w:r>
          </w:p>
        </w:tc>
        <w:tc>
          <w:tcPr>
            <w:tcW w:type="dxa" w:w="1872"/>
            <w:tcMar>
              <w:top w:w="35" w:type="dxa"/>
              <w:bottom w:w="35" w:type="dxa"/>
              <w:left w:w="60" w:type="dxa"/>
              <w:right w:w="60" w:type="dxa"/>
            </w:tcMar>
          </w:tcPr>
          <w:p>
            <w:pPr>
              <w:jc w:val="left"/>
            </w:pPr>
            <w:r>
              <w:rPr>
                <w:rFonts w:ascii="Times New Roman" w:hAnsi="Times New Roman"/>
                <w:sz w:val="16"/>
              </w:rPr>
              <w:t>$18.80 to $8,684.80</w:t>
            </w:r>
          </w:p>
        </w:tc>
        <w:tc>
          <w:tcPr>
            <w:tcW w:type="dxa" w:w="3744"/>
            <w:tcMar>
              <w:top w:w="35" w:type="dxa"/>
              <w:bottom w:w="35" w:type="dxa"/>
              <w:left w:w="60" w:type="dxa"/>
              <w:right w:w="60" w:type="dxa"/>
            </w:tcMar>
          </w:tcPr>
          <w:p>
            <w:pPr>
              <w:jc w:val="left"/>
            </w:pPr>
            <w:r>
              <w:rPr>
                <w:rFonts w:ascii="Times New Roman" w:hAnsi="Times New Roman"/>
                <w:sz w:val="16"/>
              </w:rPr>
              <w:t>Cumulative historical revenue (11 missing imputed)</w:t>
            </w:r>
          </w:p>
        </w:tc>
      </w:tr>
      <w:tr>
        <w:tc>
          <w:tcPr>
            <w:tcW w:type="dxa" w:w="2160"/>
            <w:tcMar>
              <w:top w:w="35" w:type="dxa"/>
              <w:bottom w:w="35" w:type="dxa"/>
              <w:left w:w="60" w:type="dxa"/>
              <w:right w:w="60" w:type="dxa"/>
            </w:tcMar>
          </w:tcPr>
          <w:p>
            <w:pPr>
              <w:jc w:val="left"/>
            </w:pPr>
            <w:r>
              <w:rPr>
                <w:rFonts w:ascii="Times New Roman" w:hAnsi="Times New Roman"/>
                <w:b/>
                <w:sz w:val="16"/>
              </w:rPr>
              <w:t>Churn</w:t>
            </w:r>
          </w:p>
        </w:tc>
        <w:tc>
          <w:tcPr>
            <w:tcW w:type="dxa" w:w="1584"/>
            <w:tcMar>
              <w:top w:w="35" w:type="dxa"/>
              <w:bottom w:w="35" w:type="dxa"/>
              <w:left w:w="60" w:type="dxa"/>
              <w:right w:w="60" w:type="dxa"/>
            </w:tcMar>
          </w:tcPr>
          <w:p>
            <w:pPr>
              <w:jc w:val="left"/>
            </w:pPr>
            <w:r>
              <w:rPr>
                <w:rFonts w:ascii="Times New Roman" w:hAnsi="Times New Roman"/>
                <w:sz w:val="16"/>
              </w:rPr>
              <w:t>Binary (Event)</w:t>
            </w:r>
          </w:p>
        </w:tc>
        <w:tc>
          <w:tcPr>
            <w:tcW w:type="dxa" w:w="1872"/>
            <w:tcMar>
              <w:top w:w="35" w:type="dxa"/>
              <w:bottom w:w="35" w:type="dxa"/>
              <w:left w:w="60" w:type="dxa"/>
              <w:right w:w="60" w:type="dxa"/>
            </w:tcMar>
          </w:tcPr>
          <w:p>
            <w:pPr>
              <w:jc w:val="left"/>
            </w:pPr>
            <w:r>
              <w:rPr>
                <w:rFonts w:ascii="Times New Roman" w:hAnsi="Times New Roman"/>
                <w:sz w:val="16"/>
              </w:rPr>
              <w:t>0 (Censored), 1 (Churn)</w:t>
            </w:r>
          </w:p>
        </w:tc>
        <w:tc>
          <w:tcPr>
            <w:tcW w:type="dxa" w:w="3744"/>
            <w:tcMar>
              <w:top w:w="35" w:type="dxa"/>
              <w:bottom w:w="35" w:type="dxa"/>
              <w:left w:w="60" w:type="dxa"/>
              <w:right w:w="60" w:type="dxa"/>
            </w:tcMar>
          </w:tcPr>
          <w:p>
            <w:pPr>
              <w:jc w:val="left"/>
            </w:pPr>
            <w:r>
              <w:rPr>
                <w:rFonts w:ascii="Times New Roman" w:hAnsi="Times New Roman"/>
                <w:sz w:val="16"/>
              </w:rPr>
              <w:t>Right-censoring event indicator (E: 26.54% Churn)</w:t>
            </w:r>
          </w:p>
        </w:tc>
      </w:tr>
    </w:tbl>
    <w:p>
      <w:pPr>
        <w:spacing w:before="80" w:after="200" w:line="276" w:lineRule="auto"/>
        <w:jc w:val="center"/>
      </w:pPr>
      <w:r>
        <w:rPr>
          <w:rFonts w:ascii="Times New Roman" w:hAnsi="Times New Roman"/>
          <w:b/>
          <w:i/>
          <w:sz w:val="18"/>
        </w:rPr>
        <w:t>Table 5.1: IBM Telco Cohort Demographic and Commercial Data Dictionary</w:t>
      </w:r>
    </w:p>
    <w:p>
      <w:pPr>
        <w:spacing w:before="160" w:after="80" w:line="276" w:lineRule="auto"/>
        <w:jc w:val="left"/>
      </w:pPr>
      <w:r>
        <w:rPr>
          <w:rFonts w:ascii="Times New Roman" w:hAnsi="Times New Roman"/>
          <w:b/>
          <w:color w:val="142D55"/>
          <w:sz w:val="26"/>
        </w:rPr>
        <w:t>5.2 DATA QUALITY, IMPUTATION AND LEAKAGE AUDIT FINDINGS</w:t>
      </w:r>
    </w:p>
    <w:p>
      <w:pPr>
        <w:spacing w:before="0" w:after="80" w:line="276" w:lineRule="auto"/>
        <w:jc w:val="both"/>
      </w:pPr>
      <w:r>
        <w:rPr>
          <w:rFonts w:ascii="Times New Roman" w:hAnsi="Times New Roman"/>
          <w:color w:val="1E232D"/>
          <w:sz w:val="22"/>
        </w:rPr>
        <w:t>Prior to model training, an exhaustive data quality audit was conducted on the raw 7,043 records. The audit confirmed zero missing values across all demographic and service features, with the sole exception of the TotalCharges column, where exactly 11 records exhibited blank whitespace strings (' '). These records corresponded exclusively to newly acquired subscribers with tenure = 0 months who had not yet completed their inaugural monthly billing cycle.</w:t>
      </w:r>
    </w:p>
    <w:p>
      <w:pPr>
        <w:spacing w:before="0" w:after="160" w:line="276" w:lineRule="auto"/>
        <w:jc w:val="both"/>
      </w:pPr>
      <w:r>
        <w:rPr>
          <w:rFonts w:ascii="Times New Roman" w:hAnsi="Times New Roman"/>
          <w:color w:val="1E232D"/>
          <w:sz w:val="22"/>
        </w:rPr>
        <w:t>The automated imputation routine set TotalCharges equal to MonthlyCharges for tenure=0 records, and applied the training-set median ($1,397.47) to any residual missing values. A secondary leakage audit verified that the train (5,634) and test (1,409) index sets shared zero common customer identifiers (disjointness verified, Jaccard similarity = 0.0), and that no forward-looking billing indicators were present in the feature space, establishing a certified 100% clean data foundation.</w:t>
      </w:r>
    </w:p>
    <w:p>
      <w:pPr>
        <w:spacing w:before="160" w:after="80" w:line="276" w:lineRule="auto"/>
        <w:jc w:val="left"/>
      </w:pPr>
      <w:r>
        <w:rPr>
          <w:rFonts w:ascii="Times New Roman" w:hAnsi="Times New Roman"/>
          <w:b/>
          <w:color w:val="142D55"/>
          <w:sz w:val="26"/>
        </w:rPr>
        <w:t>5.3 KAPLAN-MEIER EMPIRICAL SURVIVAL ANALYSIS</w:t>
      </w:r>
    </w:p>
    <w:p>
      <w:pPr>
        <w:spacing w:before="0" w:after="80" w:line="276" w:lineRule="auto"/>
        <w:jc w:val="both"/>
      </w:pPr>
      <w:r>
        <w:rPr>
          <w:rFonts w:ascii="Times New Roman" w:hAnsi="Times New Roman"/>
          <w:color w:val="1E232D"/>
          <w:sz w:val="22"/>
        </w:rPr>
        <w:t>Non-parametric Kaplan-Meier survival curves were estimated across the entire subscriber population and stratified across key commercial segments to establish baseline empirical survival dynamics. Figure 5.1 displays the overall cohort survival probability curve S(t) spanning 0 to 72 months, bounded by 95% Hall-Wellner confidence intervals:</w:t>
      </w:r>
    </w:p>
    <w:p>
      <w:pPr>
        <w:spacing w:before="120" w:after="60"/>
        <w:jc w:val="center"/>
      </w:pPr>
      <w:r>
        <w:drawing>
          <wp:inline xmlns:a="http://schemas.openxmlformats.org/drawingml/2006/main" xmlns:pic="http://schemas.openxmlformats.org/drawingml/2006/picture">
            <wp:extent cx="4754880" cy="2641600"/>
            <wp:docPr id="7" name="Picture 7"/>
            <wp:cNvGraphicFramePr>
              <a:graphicFrameLocks noChangeAspect="1"/>
            </wp:cNvGraphicFramePr>
            <a:graphic>
              <a:graphicData uri="http://schemas.openxmlformats.org/drawingml/2006/picture">
                <pic:pic>
                  <pic:nvPicPr>
                    <pic:cNvPr id="0" name="km_overall_survival.png"/>
                    <pic:cNvPicPr/>
                  </pic:nvPicPr>
                  <pic:blipFill>
                    <a:blip r:embed="rId17"/>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83246"/>
          <w:sz w:val="19"/>
        </w:rPr>
        <w:t>Figure 5.1: Kaplan-Meier Baseline Survival Probability Curve with 95% Confidence Intervals</w:t>
      </w:r>
    </w:p>
    <w:p>
      <w:pPr>
        <w:spacing w:before="0" w:after="80" w:line="276" w:lineRule="auto"/>
        <w:jc w:val="both"/>
      </w:pPr>
      <w:r>
        <w:rPr>
          <w:rFonts w:ascii="Times New Roman" w:hAnsi="Times New Roman"/>
          <w:color w:val="1E232D"/>
          <w:sz w:val="22"/>
        </w:rPr>
        <w:t>As demonstrated in Figure 5.1, the median survival time for the general subscriber population is not reached within the 72-month observation window (&gt;72 months), reflecting the strong 73.46% censoring rate. The empirical survival probability declines to 94.6% at 1 month, 87.2% at 12 months, 80.4% at 24 months, and stabilizes near 70.1% at 72 months. The steep initial descent during the first 12 months confirms a pronounced early-tenure onboarding vulnerability, where subscribers who fail to achieve product adoption churn rapidly.</w:t>
      </w:r>
    </w:p>
    <w:p>
      <w:pPr>
        <w:spacing w:before="0" w:after="80" w:line="276" w:lineRule="auto"/>
        <w:jc w:val="both"/>
      </w:pPr>
      <w:r>
        <w:rPr>
          <w:rFonts w:ascii="Times New Roman" w:hAnsi="Times New Roman"/>
          <w:color w:val="1E232D"/>
          <w:sz w:val="22"/>
        </w:rPr>
        <w:t>To investigate commercial heterogeneity, the cohort was stratified by Contract Type (Month-to-month, One year, Two year) and Internet Service Architecture (DSL, Fiber Optic, No Internet). Figures 5.2 and 5.3 present the resulting survival curves:</w:t>
      </w:r>
    </w:p>
    <w:p>
      <w:pPr>
        <w:spacing w:before="120" w:after="60"/>
        <w:jc w:val="center"/>
      </w:pPr>
      <w:r>
        <w:drawing>
          <wp:inline xmlns:a="http://schemas.openxmlformats.org/drawingml/2006/main" xmlns:pic="http://schemas.openxmlformats.org/drawingml/2006/picture">
            <wp:extent cx="4754880" cy="2641600"/>
            <wp:docPr id="8" name="Picture 8"/>
            <wp:cNvGraphicFramePr>
              <a:graphicFrameLocks noChangeAspect="1"/>
            </wp:cNvGraphicFramePr>
            <a:graphic>
              <a:graphicData uri="http://schemas.openxmlformats.org/drawingml/2006/picture">
                <pic:pic>
                  <pic:nvPicPr>
                    <pic:cNvPr id="0" name="km_contract_survival.png"/>
                    <pic:cNvPicPr/>
                  </pic:nvPicPr>
                  <pic:blipFill>
                    <a:blip r:embed="rId18"/>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83246"/>
          <w:sz w:val="19"/>
        </w:rPr>
        <w:t>Figure 5.2: Kaplan-Meier Survival Curves Stratified by Customer Contract Type (Log-Rank p &lt; 0.0001)</w:t>
      </w:r>
    </w:p>
    <w:p>
      <w:pPr>
        <w:spacing w:before="0" w:after="80" w:line="276" w:lineRule="auto"/>
        <w:jc w:val="both"/>
      </w:pPr>
      <w:r>
        <w:rPr>
          <w:rFonts w:ascii="Times New Roman" w:hAnsi="Times New Roman"/>
          <w:color w:val="1E232D"/>
          <w:sz w:val="22"/>
        </w:rPr>
        <w:t>Figure 5.2 reveals extraordinary divergence in retention trajectories across contract types. Month-to-month subscribers experience catastrophic attrition, reaching a median survival time of exactly 26.0 months. By month 72, less than 28% of month-to-month subscribers remain active. In stark contrast, One-Year and Two-Year contractual commitments maintain over 82% and 96% survival probabilities respectively across the full 72-month timeline. The log-rank test statistic between contract curves yields p &lt; 0.0001, confirming that contractual lock-in represents the single most powerful protective factor against customer attrition.</w:t>
      </w:r>
    </w:p>
    <w:p>
      <w:pPr>
        <w:spacing w:before="120" w:after="60"/>
        <w:jc w:val="center"/>
      </w:pPr>
      <w:r>
        <w:drawing>
          <wp:inline xmlns:a="http://schemas.openxmlformats.org/drawingml/2006/main" xmlns:pic="http://schemas.openxmlformats.org/drawingml/2006/picture">
            <wp:extent cx="4754880" cy="2641600"/>
            <wp:docPr id="9" name="Picture 9"/>
            <wp:cNvGraphicFramePr>
              <a:graphicFrameLocks noChangeAspect="1"/>
            </wp:cNvGraphicFramePr>
            <a:graphic>
              <a:graphicData uri="http://schemas.openxmlformats.org/drawingml/2006/picture">
                <pic:pic>
                  <pic:nvPicPr>
                    <pic:cNvPr id="0" name="km_internet_service_survival.png"/>
                    <pic:cNvPicPr/>
                  </pic:nvPicPr>
                  <pic:blipFill>
                    <a:blip r:embed="rId19"/>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83246"/>
          <w:sz w:val="19"/>
        </w:rPr>
        <w:t>Figure 5.3: Kaplan-Meier Survival Curves Stratified by Internet Service Architecture</w:t>
      </w:r>
    </w:p>
    <w:p>
      <w:pPr>
        <w:spacing w:before="0" w:after="160" w:line="276" w:lineRule="auto"/>
        <w:jc w:val="both"/>
      </w:pPr>
      <w:r>
        <w:rPr>
          <w:rFonts w:ascii="Times New Roman" w:hAnsi="Times New Roman"/>
          <w:color w:val="1E232D"/>
          <w:sz w:val="22"/>
        </w:rPr>
        <w:t>Figure 5.3 demonstrates surprising operational dynamics: Fiber Optic subscribers exhibit substantially steeper churn hazard than DSL or No Internet subscribers. Despite delivering premium broadband speeds, Fiber Optic accounts experience elevated early churn due to higher monthly price points ($70–$118/mo) and fierce competitive promotional switching from rival fiber providers.</w:t>
      </w:r>
    </w:p>
    <w:p>
      <w:pPr>
        <w:spacing w:before="160" w:after="80" w:line="276" w:lineRule="auto"/>
        <w:jc w:val="left"/>
      </w:pPr>
      <w:r>
        <w:rPr>
          <w:rFonts w:ascii="Times New Roman" w:hAnsi="Times New Roman"/>
          <w:b/>
          <w:color w:val="142D55"/>
          <w:sz w:val="26"/>
        </w:rPr>
        <w:t>5.4 SURVIVAL MODEL BENCHMARKING &amp; PERFORMANCE</w:t>
      </w:r>
    </w:p>
    <w:p>
      <w:pPr>
        <w:spacing w:before="0" w:after="80" w:line="276" w:lineRule="auto"/>
        <w:jc w:val="both"/>
      </w:pPr>
      <w:r>
        <w:rPr>
          <w:rFonts w:ascii="Times New Roman" w:hAnsi="Times New Roman"/>
          <w:color w:val="1E232D"/>
          <w:sz w:val="22"/>
        </w:rPr>
        <w:t>Five distinct predictive modeling architectures were trained on the 80% split (5,634 accounts) and evaluated on the held-out 20% test split (1,409 accounts): (M0a) Kaplan-Meier Baseline, (M0b) Naive Binary Logistic Classifier, (M1) Cox Proportional Hazards, (M2) Weibull Accelerated Failure Time (AFT), and (M3) Random Survival Forest (RSF). Table 5.2 presents the comprehensive benchmarking matrix:</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2592"/>
            <w:shd w:fill="152035"/>
            <w:tcMar>
              <w:top w:w="50" w:type="dxa"/>
              <w:bottom w:w="50" w:type="dxa"/>
              <w:left w:w="50" w:type="dxa"/>
              <w:right w:w="50" w:type="dxa"/>
            </w:tcMar>
          </w:tcPr>
          <w:p>
            <w:pPr>
              <w:jc w:val="left"/>
            </w:pPr>
            <w:r>
              <w:rPr>
                <w:rFonts w:ascii="Times New Roman" w:hAnsi="Times New Roman"/>
                <w:b/>
                <w:color w:val="FFFFFF"/>
                <w:sz w:val="17"/>
              </w:rPr>
              <w:t>MODEL ARCHITECTURE</w:t>
            </w:r>
          </w:p>
        </w:tc>
        <w:tc>
          <w:tcPr>
            <w:tcW w:type="dxa" w:w="1296"/>
            <w:shd w:fill="152035"/>
            <w:tcMar>
              <w:top w:w="50" w:type="dxa"/>
              <w:bottom w:w="50" w:type="dxa"/>
              <w:left w:w="50" w:type="dxa"/>
              <w:right w:w="50" w:type="dxa"/>
            </w:tcMar>
          </w:tcPr>
          <w:p>
            <w:pPr>
              <w:jc w:val="center"/>
            </w:pPr>
            <w:r>
              <w:rPr>
                <w:rFonts w:ascii="Times New Roman" w:hAnsi="Times New Roman"/>
                <w:b/>
                <w:color w:val="FFFFFF"/>
                <w:sz w:val="17"/>
              </w:rPr>
              <w:t>C-INDEX</w:t>
            </w:r>
          </w:p>
        </w:tc>
        <w:tc>
          <w:tcPr>
            <w:tcW w:type="dxa" w:w="1440"/>
            <w:shd w:fill="152035"/>
            <w:tcMar>
              <w:top w:w="50" w:type="dxa"/>
              <w:bottom w:w="50" w:type="dxa"/>
              <w:left w:w="50" w:type="dxa"/>
              <w:right w:w="50" w:type="dxa"/>
            </w:tcMar>
          </w:tcPr>
          <w:p>
            <w:pPr>
              <w:jc w:val="center"/>
            </w:pPr>
            <w:r>
              <w:rPr>
                <w:rFonts w:ascii="Times New Roman" w:hAnsi="Times New Roman"/>
                <w:b/>
                <w:color w:val="FFFFFF"/>
                <w:sz w:val="17"/>
              </w:rPr>
              <w:t>INT. BRIER</w:t>
            </w:r>
          </w:p>
        </w:tc>
        <w:tc>
          <w:tcPr>
            <w:tcW w:type="dxa" w:w="1296"/>
            <w:shd w:fill="152035"/>
            <w:tcMar>
              <w:top w:w="50" w:type="dxa"/>
              <w:bottom w:w="50" w:type="dxa"/>
              <w:left w:w="50" w:type="dxa"/>
              <w:right w:w="50" w:type="dxa"/>
            </w:tcMar>
          </w:tcPr>
          <w:p>
            <w:pPr>
              <w:jc w:val="center"/>
            </w:pPr>
            <w:r>
              <w:rPr>
                <w:rFonts w:ascii="Times New Roman" w:hAnsi="Times New Roman"/>
                <w:b/>
                <w:color w:val="FFFFFF"/>
                <w:sz w:val="17"/>
              </w:rPr>
              <w:t>AUC (1M)</w:t>
            </w:r>
          </w:p>
        </w:tc>
        <w:tc>
          <w:tcPr>
            <w:tcW w:type="dxa" w:w="1296"/>
            <w:shd w:fill="152035"/>
            <w:tcMar>
              <w:top w:w="50" w:type="dxa"/>
              <w:bottom w:w="50" w:type="dxa"/>
              <w:left w:w="50" w:type="dxa"/>
              <w:right w:w="50" w:type="dxa"/>
            </w:tcMar>
          </w:tcPr>
          <w:p>
            <w:pPr>
              <w:jc w:val="center"/>
            </w:pPr>
            <w:r>
              <w:rPr>
                <w:rFonts w:ascii="Times New Roman" w:hAnsi="Times New Roman"/>
                <w:b/>
                <w:color w:val="FFFFFF"/>
                <w:sz w:val="17"/>
              </w:rPr>
              <w:t>AUC (3M)</w:t>
            </w:r>
          </w:p>
        </w:tc>
        <w:tc>
          <w:tcPr>
            <w:tcW w:type="dxa" w:w="1440"/>
            <w:shd w:fill="152035"/>
            <w:tcMar>
              <w:top w:w="50" w:type="dxa"/>
              <w:bottom w:w="50" w:type="dxa"/>
              <w:left w:w="50" w:type="dxa"/>
              <w:right w:w="50" w:type="dxa"/>
            </w:tcMar>
          </w:tcPr>
          <w:p>
            <w:pPr>
              <w:jc w:val="center"/>
            </w:pPr>
            <w:r>
              <w:rPr>
                <w:rFonts w:ascii="Times New Roman" w:hAnsi="Times New Roman"/>
                <w:b/>
                <w:color w:val="FFFFFF"/>
                <w:sz w:val="17"/>
              </w:rPr>
              <w:t>AUC (6M)</w:t>
            </w:r>
          </w:p>
        </w:tc>
      </w:tr>
      <w:tr>
        <w:tc>
          <w:tcPr>
            <w:tcW w:type="dxa" w:w="2592"/>
            <w:tcMar>
              <w:top w:w="40" w:type="dxa"/>
              <w:bottom w:w="40" w:type="dxa"/>
              <w:left w:w="50" w:type="dxa"/>
              <w:right w:w="50" w:type="dxa"/>
            </w:tcMar>
          </w:tcPr>
          <w:p>
            <w:pPr>
              <w:jc w:val="left"/>
            </w:pPr>
            <w:r>
              <w:rPr>
                <w:rFonts w:ascii="Times New Roman" w:hAnsi="Times New Roman"/>
                <w:b/>
                <w:sz w:val="17"/>
              </w:rPr>
              <w:t>M0a: Kaplan-Meier Baseline</w:t>
            </w:r>
          </w:p>
        </w:tc>
        <w:tc>
          <w:tcPr>
            <w:tcW w:type="dxa" w:w="1296"/>
            <w:tcMar>
              <w:top w:w="40" w:type="dxa"/>
              <w:bottom w:w="40" w:type="dxa"/>
              <w:left w:w="50" w:type="dxa"/>
              <w:right w:w="50" w:type="dxa"/>
            </w:tcMar>
          </w:tcPr>
          <w:p>
            <w:pPr>
              <w:jc w:val="center"/>
            </w:pPr>
            <w:r>
              <w:rPr>
                <w:rFonts w:ascii="Times New Roman" w:hAnsi="Times New Roman"/>
                <w:sz w:val="17"/>
              </w:rPr>
              <w:t>0.5000</w:t>
            </w:r>
          </w:p>
        </w:tc>
        <w:tc>
          <w:tcPr>
            <w:tcW w:type="dxa" w:w="1440"/>
            <w:tcMar>
              <w:top w:w="40" w:type="dxa"/>
              <w:bottom w:w="40" w:type="dxa"/>
              <w:left w:w="50" w:type="dxa"/>
              <w:right w:w="50" w:type="dxa"/>
            </w:tcMar>
          </w:tcPr>
          <w:p>
            <w:pPr>
              <w:jc w:val="center"/>
            </w:pPr>
            <w:r>
              <w:rPr>
                <w:rFonts w:ascii="Times New Roman" w:hAnsi="Times New Roman"/>
                <w:sz w:val="17"/>
              </w:rPr>
              <w:t>0.1711</w:t>
            </w:r>
          </w:p>
        </w:tc>
        <w:tc>
          <w:tcPr>
            <w:tcW w:type="dxa" w:w="1296"/>
            <w:tcMar>
              <w:top w:w="40" w:type="dxa"/>
              <w:bottom w:w="40" w:type="dxa"/>
              <w:left w:w="50" w:type="dxa"/>
              <w:right w:w="50" w:type="dxa"/>
            </w:tcMar>
          </w:tcPr>
          <w:p>
            <w:pPr>
              <w:jc w:val="center"/>
            </w:pPr>
            <w:r>
              <w:rPr>
                <w:rFonts w:ascii="Times New Roman" w:hAnsi="Times New Roman"/>
                <w:sz w:val="17"/>
              </w:rPr>
              <w:t>0.5000</w:t>
            </w:r>
          </w:p>
        </w:tc>
        <w:tc>
          <w:tcPr>
            <w:tcW w:type="dxa" w:w="1296"/>
            <w:tcMar>
              <w:top w:w="40" w:type="dxa"/>
              <w:bottom w:w="40" w:type="dxa"/>
              <w:left w:w="50" w:type="dxa"/>
              <w:right w:w="50" w:type="dxa"/>
            </w:tcMar>
          </w:tcPr>
          <w:p>
            <w:pPr>
              <w:jc w:val="center"/>
            </w:pPr>
            <w:r>
              <w:rPr>
                <w:rFonts w:ascii="Times New Roman" w:hAnsi="Times New Roman"/>
                <w:sz w:val="17"/>
              </w:rPr>
              <w:t>0.5000</w:t>
            </w:r>
          </w:p>
        </w:tc>
        <w:tc>
          <w:tcPr>
            <w:tcW w:type="dxa" w:w="1440"/>
            <w:tcMar>
              <w:top w:w="40" w:type="dxa"/>
              <w:bottom w:w="40" w:type="dxa"/>
              <w:left w:w="50" w:type="dxa"/>
              <w:right w:w="50" w:type="dxa"/>
            </w:tcMar>
          </w:tcPr>
          <w:p>
            <w:pPr>
              <w:jc w:val="center"/>
            </w:pPr>
            <w:r>
              <w:rPr>
                <w:rFonts w:ascii="Times New Roman" w:hAnsi="Times New Roman"/>
                <w:sz w:val="17"/>
              </w:rPr>
              <w:t>0.5000</w:t>
            </w:r>
          </w:p>
        </w:tc>
      </w:tr>
      <w:tr>
        <w:tc>
          <w:tcPr>
            <w:tcW w:type="dxa" w:w="2592"/>
            <w:tcMar>
              <w:top w:w="40" w:type="dxa"/>
              <w:bottom w:w="40" w:type="dxa"/>
              <w:left w:w="50" w:type="dxa"/>
              <w:right w:w="50" w:type="dxa"/>
            </w:tcMar>
          </w:tcPr>
          <w:p>
            <w:pPr>
              <w:jc w:val="left"/>
            </w:pPr>
            <w:r>
              <w:rPr>
                <w:rFonts w:ascii="Times New Roman" w:hAnsi="Times New Roman"/>
                <w:b/>
                <w:sz w:val="17"/>
              </w:rPr>
              <w:t>M0b: Naive Binary Classifier</w:t>
            </w:r>
          </w:p>
        </w:tc>
        <w:tc>
          <w:tcPr>
            <w:tcW w:type="dxa" w:w="1296"/>
            <w:tcMar>
              <w:top w:w="40" w:type="dxa"/>
              <w:bottom w:w="40" w:type="dxa"/>
              <w:left w:w="50" w:type="dxa"/>
              <w:right w:w="50" w:type="dxa"/>
            </w:tcMar>
          </w:tcPr>
          <w:p>
            <w:pPr>
              <w:jc w:val="center"/>
            </w:pPr>
            <w:r>
              <w:rPr>
                <w:rFonts w:ascii="Times New Roman" w:hAnsi="Times New Roman"/>
                <w:sz w:val="17"/>
              </w:rPr>
              <w:t>0.8283</w:t>
            </w:r>
          </w:p>
        </w:tc>
        <w:tc>
          <w:tcPr>
            <w:tcW w:type="dxa" w:w="1440"/>
            <w:tcMar>
              <w:top w:w="40" w:type="dxa"/>
              <w:bottom w:w="40" w:type="dxa"/>
              <w:left w:w="50" w:type="dxa"/>
              <w:right w:w="50" w:type="dxa"/>
            </w:tcMar>
          </w:tcPr>
          <w:p>
            <w:pPr>
              <w:jc w:val="center"/>
            </w:pPr>
            <w:r>
              <w:rPr>
                <w:rFonts w:ascii="Times New Roman" w:hAnsi="Times New Roman"/>
                <w:sz w:val="17"/>
              </w:rPr>
              <w:t>0.1336</w:t>
            </w:r>
          </w:p>
        </w:tc>
        <w:tc>
          <w:tcPr>
            <w:tcW w:type="dxa" w:w="1296"/>
            <w:tcMar>
              <w:top w:w="40" w:type="dxa"/>
              <w:bottom w:w="40" w:type="dxa"/>
              <w:left w:w="50" w:type="dxa"/>
              <w:right w:w="50" w:type="dxa"/>
            </w:tcMar>
          </w:tcPr>
          <w:p>
            <w:pPr>
              <w:jc w:val="center"/>
            </w:pPr>
            <w:r>
              <w:rPr>
                <w:rFonts w:ascii="Times New Roman" w:hAnsi="Times New Roman"/>
                <w:sz w:val="17"/>
              </w:rPr>
              <w:t>0.7779</w:t>
            </w:r>
          </w:p>
        </w:tc>
        <w:tc>
          <w:tcPr>
            <w:tcW w:type="dxa" w:w="1296"/>
            <w:tcMar>
              <w:top w:w="40" w:type="dxa"/>
              <w:bottom w:w="40" w:type="dxa"/>
              <w:left w:w="50" w:type="dxa"/>
              <w:right w:w="50" w:type="dxa"/>
            </w:tcMar>
          </w:tcPr>
          <w:p>
            <w:pPr>
              <w:jc w:val="center"/>
            </w:pPr>
            <w:r>
              <w:rPr>
                <w:rFonts w:ascii="Times New Roman" w:hAnsi="Times New Roman"/>
                <w:sz w:val="17"/>
              </w:rPr>
              <w:t>0.8057</w:t>
            </w:r>
          </w:p>
        </w:tc>
        <w:tc>
          <w:tcPr>
            <w:tcW w:type="dxa" w:w="1440"/>
            <w:tcMar>
              <w:top w:w="40" w:type="dxa"/>
              <w:bottom w:w="40" w:type="dxa"/>
              <w:left w:w="50" w:type="dxa"/>
              <w:right w:w="50" w:type="dxa"/>
            </w:tcMar>
          </w:tcPr>
          <w:p>
            <w:pPr>
              <w:jc w:val="center"/>
            </w:pPr>
            <w:r>
              <w:rPr>
                <w:rFonts w:ascii="Times New Roman" w:hAnsi="Times New Roman"/>
                <w:sz w:val="17"/>
              </w:rPr>
              <w:t>0.8207</w:t>
            </w:r>
          </w:p>
        </w:tc>
      </w:tr>
      <w:tr>
        <w:tc>
          <w:tcPr>
            <w:tcW w:type="dxa" w:w="2592"/>
            <w:tcMar>
              <w:top w:w="40" w:type="dxa"/>
              <w:bottom w:w="40" w:type="dxa"/>
              <w:left w:w="50" w:type="dxa"/>
              <w:right w:w="50" w:type="dxa"/>
            </w:tcMar>
          </w:tcPr>
          <w:p>
            <w:pPr>
              <w:jc w:val="left"/>
            </w:pPr>
            <w:r>
              <w:rPr>
                <w:rFonts w:ascii="Times New Roman" w:hAnsi="Times New Roman"/>
                <w:b/>
                <w:sz w:val="17"/>
              </w:rPr>
              <w:t>M1: Cox Proportional Hazards</w:t>
            </w:r>
          </w:p>
        </w:tc>
        <w:tc>
          <w:tcPr>
            <w:tcW w:type="dxa" w:w="1296"/>
            <w:tcMar>
              <w:top w:w="40" w:type="dxa"/>
              <w:bottom w:w="40" w:type="dxa"/>
              <w:left w:w="50" w:type="dxa"/>
              <w:right w:w="50" w:type="dxa"/>
            </w:tcMar>
          </w:tcPr>
          <w:p>
            <w:pPr>
              <w:jc w:val="center"/>
            </w:pPr>
            <w:r>
              <w:rPr>
                <w:rFonts w:ascii="Times New Roman" w:hAnsi="Times New Roman"/>
                <w:b/>
                <w:color w:val="1E6E32"/>
                <w:sz w:val="17"/>
              </w:rPr>
              <w:t>0.8694</w:t>
            </w:r>
          </w:p>
        </w:tc>
        <w:tc>
          <w:tcPr>
            <w:tcW w:type="dxa" w:w="1440"/>
            <w:tcMar>
              <w:top w:w="40" w:type="dxa"/>
              <w:bottom w:w="40" w:type="dxa"/>
              <w:left w:w="50" w:type="dxa"/>
              <w:right w:w="50" w:type="dxa"/>
            </w:tcMar>
          </w:tcPr>
          <w:p>
            <w:pPr>
              <w:jc w:val="center"/>
            </w:pPr>
            <w:r>
              <w:rPr>
                <w:rFonts w:ascii="Times New Roman" w:hAnsi="Times New Roman"/>
                <w:sz w:val="17"/>
              </w:rPr>
              <w:t>0.0840</w:t>
            </w:r>
          </w:p>
        </w:tc>
        <w:tc>
          <w:tcPr>
            <w:tcW w:type="dxa" w:w="1296"/>
            <w:tcMar>
              <w:top w:w="40" w:type="dxa"/>
              <w:bottom w:w="40" w:type="dxa"/>
              <w:left w:w="50" w:type="dxa"/>
              <w:right w:w="50" w:type="dxa"/>
            </w:tcMar>
          </w:tcPr>
          <w:p>
            <w:pPr>
              <w:jc w:val="center"/>
            </w:pPr>
            <w:r>
              <w:rPr>
                <w:rFonts w:ascii="Times New Roman" w:hAnsi="Times New Roman"/>
                <w:sz w:val="17"/>
              </w:rPr>
              <w:t>0.8691</w:t>
            </w:r>
          </w:p>
        </w:tc>
        <w:tc>
          <w:tcPr>
            <w:tcW w:type="dxa" w:w="1296"/>
            <w:tcMar>
              <w:top w:w="40" w:type="dxa"/>
              <w:bottom w:w="40" w:type="dxa"/>
              <w:left w:w="50" w:type="dxa"/>
              <w:right w:w="50" w:type="dxa"/>
            </w:tcMar>
          </w:tcPr>
          <w:p>
            <w:pPr>
              <w:jc w:val="center"/>
            </w:pPr>
            <w:r>
              <w:rPr>
                <w:rFonts w:ascii="Times New Roman" w:hAnsi="Times New Roman"/>
                <w:sz w:val="17"/>
              </w:rPr>
              <w:t>0.8789</w:t>
            </w:r>
          </w:p>
        </w:tc>
        <w:tc>
          <w:tcPr>
            <w:tcW w:type="dxa" w:w="1440"/>
            <w:tcMar>
              <w:top w:w="40" w:type="dxa"/>
              <w:bottom w:w="40" w:type="dxa"/>
              <w:left w:w="50" w:type="dxa"/>
              <w:right w:w="50" w:type="dxa"/>
            </w:tcMar>
          </w:tcPr>
          <w:p>
            <w:pPr>
              <w:jc w:val="center"/>
            </w:pPr>
            <w:r>
              <w:rPr>
                <w:rFonts w:ascii="Times New Roman" w:hAnsi="Times New Roman"/>
                <w:sz w:val="17"/>
              </w:rPr>
              <w:t>0.8898</w:t>
            </w:r>
          </w:p>
        </w:tc>
      </w:tr>
      <w:tr>
        <w:tc>
          <w:tcPr>
            <w:tcW w:type="dxa" w:w="2592"/>
            <w:tcMar>
              <w:top w:w="40" w:type="dxa"/>
              <w:bottom w:w="40" w:type="dxa"/>
              <w:left w:w="50" w:type="dxa"/>
              <w:right w:w="50" w:type="dxa"/>
            </w:tcMar>
          </w:tcPr>
          <w:p>
            <w:pPr>
              <w:jc w:val="left"/>
            </w:pPr>
            <w:r>
              <w:rPr>
                <w:rFonts w:ascii="Times New Roman" w:hAnsi="Times New Roman"/>
                <w:b/>
                <w:sz w:val="17"/>
              </w:rPr>
              <w:t>M2: Weibull AFT Model</w:t>
            </w:r>
          </w:p>
        </w:tc>
        <w:tc>
          <w:tcPr>
            <w:tcW w:type="dxa" w:w="1296"/>
            <w:tcMar>
              <w:top w:w="40" w:type="dxa"/>
              <w:bottom w:w="40" w:type="dxa"/>
              <w:left w:w="50" w:type="dxa"/>
              <w:right w:w="50" w:type="dxa"/>
            </w:tcMar>
          </w:tcPr>
          <w:p>
            <w:pPr>
              <w:jc w:val="center"/>
            </w:pPr>
            <w:r>
              <w:rPr>
                <w:rFonts w:ascii="Times New Roman" w:hAnsi="Times New Roman"/>
                <w:b/>
                <w:color w:val="1E6E32"/>
                <w:sz w:val="17"/>
              </w:rPr>
              <w:t>0.8697</w:t>
            </w:r>
          </w:p>
        </w:tc>
        <w:tc>
          <w:tcPr>
            <w:tcW w:type="dxa" w:w="1440"/>
            <w:tcMar>
              <w:top w:w="40" w:type="dxa"/>
              <w:bottom w:w="40" w:type="dxa"/>
              <w:left w:w="50" w:type="dxa"/>
              <w:right w:w="50" w:type="dxa"/>
            </w:tcMar>
          </w:tcPr>
          <w:p>
            <w:pPr>
              <w:jc w:val="center"/>
            </w:pPr>
            <w:r>
              <w:rPr>
                <w:rFonts w:ascii="Times New Roman" w:hAnsi="Times New Roman"/>
                <w:b/>
                <w:color w:val="1E6E32"/>
                <w:sz w:val="17"/>
              </w:rPr>
              <w:t>0.0818</w:t>
            </w:r>
          </w:p>
        </w:tc>
        <w:tc>
          <w:tcPr>
            <w:tcW w:type="dxa" w:w="1296"/>
            <w:tcMar>
              <w:top w:w="40" w:type="dxa"/>
              <w:bottom w:w="40" w:type="dxa"/>
              <w:left w:w="50" w:type="dxa"/>
              <w:right w:w="50" w:type="dxa"/>
            </w:tcMar>
          </w:tcPr>
          <w:p>
            <w:pPr>
              <w:jc w:val="center"/>
            </w:pPr>
            <w:r>
              <w:rPr>
                <w:rFonts w:ascii="Times New Roman" w:hAnsi="Times New Roman"/>
                <w:sz w:val="17"/>
              </w:rPr>
              <w:t>0.8689</w:t>
            </w:r>
          </w:p>
        </w:tc>
        <w:tc>
          <w:tcPr>
            <w:tcW w:type="dxa" w:w="1296"/>
            <w:tcMar>
              <w:top w:w="40" w:type="dxa"/>
              <w:bottom w:w="40" w:type="dxa"/>
              <w:left w:w="50" w:type="dxa"/>
              <w:right w:w="50" w:type="dxa"/>
            </w:tcMar>
          </w:tcPr>
          <w:p>
            <w:pPr>
              <w:jc w:val="center"/>
            </w:pPr>
            <w:r>
              <w:rPr>
                <w:rFonts w:ascii="Times New Roman" w:hAnsi="Times New Roman"/>
                <w:sz w:val="17"/>
              </w:rPr>
              <w:t>0.8796</w:t>
            </w:r>
          </w:p>
        </w:tc>
        <w:tc>
          <w:tcPr>
            <w:tcW w:type="dxa" w:w="1440"/>
            <w:tcMar>
              <w:top w:w="40" w:type="dxa"/>
              <w:bottom w:w="40" w:type="dxa"/>
              <w:left w:w="50" w:type="dxa"/>
              <w:right w:w="50" w:type="dxa"/>
            </w:tcMar>
          </w:tcPr>
          <w:p>
            <w:pPr>
              <w:jc w:val="center"/>
            </w:pPr>
            <w:r>
              <w:rPr>
                <w:rFonts w:ascii="Times New Roman" w:hAnsi="Times New Roman"/>
                <w:sz w:val="17"/>
              </w:rPr>
              <w:t>0.8899</w:t>
            </w:r>
          </w:p>
        </w:tc>
      </w:tr>
      <w:tr>
        <w:tc>
          <w:tcPr>
            <w:tcW w:type="dxa" w:w="2592"/>
            <w:tcMar>
              <w:top w:w="40" w:type="dxa"/>
              <w:bottom w:w="40" w:type="dxa"/>
              <w:left w:w="50" w:type="dxa"/>
              <w:right w:w="50" w:type="dxa"/>
            </w:tcMar>
          </w:tcPr>
          <w:p>
            <w:pPr>
              <w:jc w:val="left"/>
            </w:pPr>
            <w:r>
              <w:rPr>
                <w:rFonts w:ascii="Times New Roman" w:hAnsi="Times New Roman"/>
                <w:b/>
                <w:sz w:val="17"/>
              </w:rPr>
              <w:t>M3: Random Survival Forest</w:t>
            </w:r>
          </w:p>
        </w:tc>
        <w:tc>
          <w:tcPr>
            <w:tcW w:type="dxa" w:w="1296"/>
            <w:tcMar>
              <w:top w:w="40" w:type="dxa"/>
              <w:bottom w:w="40" w:type="dxa"/>
              <w:left w:w="50" w:type="dxa"/>
              <w:right w:w="50" w:type="dxa"/>
            </w:tcMar>
          </w:tcPr>
          <w:p>
            <w:pPr>
              <w:jc w:val="center"/>
            </w:pPr>
            <w:r>
              <w:rPr>
                <w:rFonts w:ascii="Times New Roman" w:hAnsi="Times New Roman"/>
                <w:sz w:val="17"/>
              </w:rPr>
              <w:t>0.8639</w:t>
            </w:r>
          </w:p>
        </w:tc>
        <w:tc>
          <w:tcPr>
            <w:tcW w:type="dxa" w:w="1440"/>
            <w:tcMar>
              <w:top w:w="40" w:type="dxa"/>
              <w:bottom w:w="40" w:type="dxa"/>
              <w:left w:w="50" w:type="dxa"/>
              <w:right w:w="50" w:type="dxa"/>
            </w:tcMar>
          </w:tcPr>
          <w:p>
            <w:pPr>
              <w:jc w:val="center"/>
            </w:pPr>
            <w:r>
              <w:rPr>
                <w:rFonts w:ascii="Times New Roman" w:hAnsi="Times New Roman"/>
                <w:sz w:val="17"/>
              </w:rPr>
              <w:t>0.0873</w:t>
            </w:r>
          </w:p>
        </w:tc>
        <w:tc>
          <w:tcPr>
            <w:tcW w:type="dxa" w:w="1296"/>
            <w:tcMar>
              <w:top w:w="40" w:type="dxa"/>
              <w:bottom w:w="40" w:type="dxa"/>
              <w:left w:w="50" w:type="dxa"/>
              <w:right w:w="50" w:type="dxa"/>
            </w:tcMar>
          </w:tcPr>
          <w:p>
            <w:pPr>
              <w:jc w:val="center"/>
            </w:pPr>
            <w:r>
              <w:rPr>
                <w:rFonts w:ascii="Times New Roman" w:hAnsi="Times New Roman"/>
                <w:sz w:val="17"/>
              </w:rPr>
              <w:t>0.8971</w:t>
            </w:r>
          </w:p>
        </w:tc>
        <w:tc>
          <w:tcPr>
            <w:tcW w:type="dxa" w:w="1296"/>
            <w:tcMar>
              <w:top w:w="40" w:type="dxa"/>
              <w:bottom w:w="40" w:type="dxa"/>
              <w:left w:w="50" w:type="dxa"/>
              <w:right w:w="50" w:type="dxa"/>
            </w:tcMar>
          </w:tcPr>
          <w:p>
            <w:pPr>
              <w:jc w:val="center"/>
            </w:pPr>
            <w:r>
              <w:rPr>
                <w:rFonts w:ascii="Times New Roman" w:hAnsi="Times New Roman"/>
                <w:sz w:val="17"/>
              </w:rPr>
              <w:t>0.8944</w:t>
            </w:r>
          </w:p>
        </w:tc>
        <w:tc>
          <w:tcPr>
            <w:tcW w:type="dxa" w:w="1440"/>
            <w:tcMar>
              <w:top w:w="40" w:type="dxa"/>
              <w:bottom w:w="40" w:type="dxa"/>
              <w:left w:w="50" w:type="dxa"/>
              <w:right w:w="50" w:type="dxa"/>
            </w:tcMar>
          </w:tcPr>
          <w:p>
            <w:pPr>
              <w:jc w:val="center"/>
            </w:pPr>
            <w:r>
              <w:rPr>
                <w:rFonts w:ascii="Times New Roman" w:hAnsi="Times New Roman"/>
                <w:sz w:val="17"/>
              </w:rPr>
              <w:t>0.8998</w:t>
            </w:r>
          </w:p>
        </w:tc>
      </w:tr>
    </w:tbl>
    <w:p>
      <w:pPr>
        <w:spacing w:before="80" w:after="200" w:line="276" w:lineRule="auto"/>
        <w:jc w:val="center"/>
      </w:pPr>
      <w:r>
        <w:rPr>
          <w:rFonts w:ascii="Times New Roman" w:hAnsi="Times New Roman"/>
          <w:b/>
          <w:i/>
          <w:sz w:val="18"/>
        </w:rPr>
        <w:t>Table 5.2: Survival Benchmark Model Performance Matrix Across Test Split</w:t>
      </w:r>
    </w:p>
    <w:p>
      <w:pPr>
        <w:spacing w:before="0" w:after="80" w:line="276" w:lineRule="auto"/>
        <w:jc w:val="both"/>
      </w:pPr>
      <w:r>
        <w:rPr>
          <w:rFonts w:ascii="Times New Roman" w:hAnsi="Times New Roman"/>
          <w:color w:val="1E232D"/>
          <w:sz w:val="22"/>
        </w:rPr>
        <w:t>Figure 5.4 visualizes the comparative performance across models in terms of Concordance Index (higher is superior) and Integrated Brier Score (lower is superior):</w:t>
      </w:r>
    </w:p>
    <w:p>
      <w:pPr>
        <w:spacing w:before="120" w:after="60"/>
        <w:jc w:val="center"/>
      </w:pPr>
      <w:r>
        <w:drawing>
          <wp:inline xmlns:a="http://schemas.openxmlformats.org/drawingml/2006/main" xmlns:pic="http://schemas.openxmlformats.org/drawingml/2006/picture">
            <wp:extent cx="4937760" cy="1993224"/>
            <wp:docPr id="10" name="Picture 10"/>
            <wp:cNvGraphicFramePr>
              <a:graphicFrameLocks noChangeAspect="1"/>
            </wp:cNvGraphicFramePr>
            <a:graphic>
              <a:graphicData uri="http://schemas.openxmlformats.org/drawingml/2006/picture">
                <pic:pic>
                  <pic:nvPicPr>
                    <pic:cNvPr id="0" name="model_comparison_chart.png"/>
                    <pic:cNvPicPr/>
                  </pic:nvPicPr>
                  <pic:blipFill>
                    <a:blip r:embed="rId20"/>
                    <a:stretch>
                      <a:fillRect/>
                    </a:stretch>
                  </pic:blipFill>
                  <pic:spPr>
                    <a:xfrm>
                      <a:off x="0" y="0"/>
                      <a:ext cx="4937760" cy="1993224"/>
                    </a:xfrm>
                    <a:prstGeom prst="rect"/>
                  </pic:spPr>
                </pic:pic>
              </a:graphicData>
            </a:graphic>
          </wp:inline>
        </w:drawing>
      </w:r>
    </w:p>
    <w:p>
      <w:pPr>
        <w:spacing w:before="40" w:after="160"/>
        <w:jc w:val="center"/>
      </w:pPr>
      <w:r>
        <w:rPr>
          <w:rFonts w:ascii="Times New Roman" w:hAnsi="Times New Roman"/>
          <w:b/>
          <w:i/>
          <w:color w:val="283246"/>
          <w:sz w:val="19"/>
        </w:rPr>
        <w:t>Figure 5.4: Benchmark Model Comparison: Concordance Index and Integrated Brier Score Across Splits</w:t>
      </w:r>
    </w:p>
    <w:p>
      <w:pPr>
        <w:spacing w:before="0" w:after="160" w:line="276" w:lineRule="auto"/>
        <w:jc w:val="both"/>
      </w:pPr>
      <w:r>
        <w:rPr>
          <w:rFonts w:ascii="Times New Roman" w:hAnsi="Times New Roman"/>
          <w:color w:val="1E232D"/>
          <w:sz w:val="22"/>
        </w:rPr>
        <w:t>As established in Table 5.2 and Figure 5.4, the parametric Weibull AFT model (M2) achieved the single highest test Concordance Index (0.8697) and lowest Integrated Brier Score (0.0818), closely matched by Cox Proportional Hazards (C-Index 0.8694, IBS 0.0840). Both survival models decisively outperformed the naive binary logistic regression baseline (C-Index 0.8283, IBS 0.1336). The Random Survival Forest achieved superior short-horizon AUC (0.8971 at 1 month and 0.8944 at 3 months), confirming its prowess in modeling complex non-linear interactions during early tenure.</w:t>
      </w:r>
    </w:p>
    <w:p>
      <w:pPr>
        <w:spacing w:before="160" w:after="80" w:line="276" w:lineRule="auto"/>
        <w:jc w:val="left"/>
      </w:pPr>
      <w:r>
        <w:rPr>
          <w:rFonts w:ascii="Times New Roman" w:hAnsi="Times New Roman"/>
          <w:b/>
          <w:color w:val="142D55"/>
          <w:sz w:val="26"/>
        </w:rPr>
        <w:t>5.5 TIME-DEPENDENT PROBABILITY CALIBRATION</w:t>
      </w:r>
    </w:p>
    <w:p>
      <w:pPr>
        <w:spacing w:before="0" w:after="80" w:line="276" w:lineRule="auto"/>
        <w:jc w:val="both"/>
      </w:pPr>
      <w:r>
        <w:rPr>
          <w:rFonts w:ascii="Times New Roman" w:hAnsi="Times New Roman"/>
          <w:color w:val="1E232D"/>
          <w:sz w:val="22"/>
        </w:rPr>
        <w:t>In enterprise decision-making, rank-ordering accuracy alone is insufficient; predicted probabilities must be well-calibrated so that a predicted 40% survival probability corresponds to exactly 40 observed survivors in practice. Figure 5.5 presents the 90-day survival calibration curve evaluated across decile bins:</w:t>
      </w:r>
    </w:p>
    <w:p>
      <w:pPr>
        <w:spacing w:before="120" w:after="60"/>
        <w:jc w:val="center"/>
      </w:pPr>
      <w:r>
        <w:drawing>
          <wp:inline xmlns:a="http://schemas.openxmlformats.org/drawingml/2006/main" xmlns:pic="http://schemas.openxmlformats.org/drawingml/2006/picture">
            <wp:extent cx="4754880" cy="2971800"/>
            <wp:docPr id="11" name="Picture 11"/>
            <wp:cNvGraphicFramePr>
              <a:graphicFrameLocks noChangeAspect="1"/>
            </wp:cNvGraphicFramePr>
            <a:graphic>
              <a:graphicData uri="http://schemas.openxmlformats.org/drawingml/2006/picture">
                <pic:pic>
                  <pic:nvPicPr>
                    <pic:cNvPr id="0" name="survival_calibration_90d.png"/>
                    <pic:cNvPicPr/>
                  </pic:nvPicPr>
                  <pic:blipFill>
                    <a:blip r:embed="rId21"/>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i/>
          <w:color w:val="283246"/>
          <w:sz w:val="19"/>
        </w:rPr>
        <w:t>Figure 5.5: Time-Dependent Probability Calibration Curve at the 90-Day Operational Horizon</w:t>
      </w:r>
    </w:p>
    <w:p>
      <w:pPr>
        <w:spacing w:before="0" w:after="160" w:line="276" w:lineRule="auto"/>
        <w:jc w:val="both"/>
      </w:pPr>
      <w:r>
        <w:rPr>
          <w:rFonts w:ascii="Times New Roman" w:hAnsi="Times New Roman"/>
          <w:color w:val="1E232D"/>
          <w:sz w:val="22"/>
        </w:rPr>
        <w:t>As illustrated in Figure 5.5, the Weibull AFT calibration curve adheres remarkably close to the ideal 45-degree diagonal reference line. The calibration slope is 0.984 (near 1.0) and the calibration intercept is -0.012, confirming that RetainIQ's survival probabilities can be directly ingested into economic ERV equations without requiring post-hoc isotonic or Platt recalibration.</w:t>
      </w:r>
    </w:p>
    <w:p>
      <w:pPr>
        <w:spacing w:before="160" w:after="80" w:line="276" w:lineRule="auto"/>
        <w:jc w:val="left"/>
      </w:pPr>
      <w:r>
        <w:rPr>
          <w:rFonts w:ascii="Times New Roman" w:hAnsi="Times New Roman"/>
          <w:b/>
          <w:color w:val="142D55"/>
          <w:sz w:val="26"/>
        </w:rPr>
        <w:t>5.6 CUSTOMER CHURN RISK STRATIFICATION TIERS</w:t>
      </w:r>
    </w:p>
    <w:p>
      <w:pPr>
        <w:spacing w:before="0" w:after="80" w:line="276" w:lineRule="auto"/>
        <w:jc w:val="both"/>
      </w:pPr>
      <w:r>
        <w:rPr>
          <w:rFonts w:ascii="Times New Roman" w:hAnsi="Times New Roman"/>
          <w:color w:val="1E232D"/>
          <w:sz w:val="22"/>
        </w:rPr>
        <w:t>Based on predicted 90-day churn probabilities P(T &lt;= 90d), the entire customer population was segmented into four operational risk tiers: Low Risk (&lt;15%), Medium Risk (15–35%), High Risk (35–65%), and Critical Risk (&gt;65%). Table 5.3 summarizes the cohort distribution:</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016"/>
            <w:shd w:fill="152035"/>
            <w:tcMar>
              <w:top w:w="50" w:type="dxa"/>
              <w:bottom w:w="50" w:type="dxa"/>
              <w:left w:w="50" w:type="dxa"/>
              <w:right w:w="50" w:type="dxa"/>
            </w:tcMar>
          </w:tcPr>
          <w:p>
            <w:pPr>
              <w:jc w:val="left"/>
            </w:pPr>
            <w:r>
              <w:rPr>
                <w:rFonts w:ascii="Times New Roman" w:hAnsi="Times New Roman"/>
                <w:b/>
                <w:color w:val="FFFFFF"/>
                <w:sz w:val="17"/>
              </w:rPr>
              <w:t>RISK TIER</w:t>
            </w:r>
          </w:p>
        </w:tc>
        <w:tc>
          <w:tcPr>
            <w:tcW w:type="dxa" w:w="1872"/>
            <w:shd w:fill="152035"/>
            <w:tcMar>
              <w:top w:w="50" w:type="dxa"/>
              <w:bottom w:w="50" w:type="dxa"/>
              <w:left w:w="50" w:type="dxa"/>
              <w:right w:w="50" w:type="dxa"/>
            </w:tcMar>
          </w:tcPr>
          <w:p>
            <w:pPr>
              <w:jc w:val="center"/>
            </w:pPr>
            <w:r>
              <w:rPr>
                <w:rFonts w:ascii="Times New Roman" w:hAnsi="Times New Roman"/>
                <w:b/>
                <w:color w:val="FFFFFF"/>
                <w:sz w:val="17"/>
              </w:rPr>
              <w:t>90D CHURN PROB.</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CUSTOMERS</w:t>
            </w:r>
          </w:p>
        </w:tc>
        <w:tc>
          <w:tcPr>
            <w:tcW w:type="dxa" w:w="1728"/>
            <w:shd w:fill="152035"/>
            <w:tcMar>
              <w:top w:w="50" w:type="dxa"/>
              <w:bottom w:w="50" w:type="dxa"/>
              <w:left w:w="50" w:type="dxa"/>
              <w:right w:w="50" w:type="dxa"/>
            </w:tcMar>
          </w:tcPr>
          <w:p>
            <w:pPr>
              <w:jc w:val="center"/>
            </w:pPr>
            <w:r>
              <w:rPr>
                <w:rFonts w:ascii="Times New Roman" w:hAnsi="Times New Roman"/>
                <w:b/>
                <w:color w:val="FFFFFF"/>
                <w:sz w:val="17"/>
              </w:rPr>
              <w:t>COHORT %</w:t>
            </w:r>
          </w:p>
        </w:tc>
        <w:tc>
          <w:tcPr>
            <w:tcW w:type="dxa" w:w="2160"/>
            <w:shd w:fill="152035"/>
            <w:tcMar>
              <w:top w:w="50" w:type="dxa"/>
              <w:bottom w:w="50" w:type="dxa"/>
              <w:left w:w="50" w:type="dxa"/>
              <w:right w:w="50" w:type="dxa"/>
            </w:tcMar>
          </w:tcPr>
          <w:p>
            <w:pPr>
              <w:jc w:val="left"/>
            </w:pPr>
            <w:r>
              <w:rPr>
                <w:rFonts w:ascii="Times New Roman" w:hAnsi="Times New Roman"/>
                <w:b/>
                <w:color w:val="FFFFFF"/>
                <w:sz w:val="17"/>
              </w:rPr>
              <w:t>PRIMARY STRATEGY</w:t>
            </w:r>
          </w:p>
        </w:tc>
      </w:tr>
      <w:tr>
        <w:tc>
          <w:tcPr>
            <w:tcW w:type="dxa" w:w="2016"/>
            <w:tcMar>
              <w:top w:w="40" w:type="dxa"/>
              <w:bottom w:w="40" w:type="dxa"/>
              <w:left w:w="50" w:type="dxa"/>
              <w:right w:w="50" w:type="dxa"/>
            </w:tcMar>
          </w:tcPr>
          <w:p>
            <w:pPr>
              <w:jc w:val="left"/>
            </w:pPr>
            <w:r>
              <w:rPr>
                <w:rFonts w:ascii="Times New Roman" w:hAnsi="Times New Roman"/>
                <w:b/>
                <w:sz w:val="17"/>
              </w:rPr>
              <w:t>Low Risk</w:t>
            </w:r>
          </w:p>
        </w:tc>
        <w:tc>
          <w:tcPr>
            <w:tcW w:type="dxa" w:w="1872"/>
            <w:tcMar>
              <w:top w:w="40" w:type="dxa"/>
              <w:bottom w:w="40" w:type="dxa"/>
              <w:left w:w="50" w:type="dxa"/>
              <w:right w:w="50" w:type="dxa"/>
            </w:tcMar>
          </w:tcPr>
          <w:p>
            <w:pPr>
              <w:jc w:val="center"/>
            </w:pPr>
            <w:r>
              <w:rPr>
                <w:rFonts w:ascii="Times New Roman" w:hAnsi="Times New Roman"/>
                <w:sz w:val="17"/>
              </w:rPr>
              <w:t>&lt; 15.0%</w:t>
            </w:r>
          </w:p>
        </w:tc>
        <w:tc>
          <w:tcPr>
            <w:tcW w:type="dxa" w:w="1584"/>
            <w:tcMar>
              <w:top w:w="40" w:type="dxa"/>
              <w:bottom w:w="40" w:type="dxa"/>
              <w:left w:w="50" w:type="dxa"/>
              <w:right w:w="50" w:type="dxa"/>
            </w:tcMar>
          </w:tcPr>
          <w:p>
            <w:pPr>
              <w:jc w:val="center"/>
            </w:pPr>
            <w:r>
              <w:rPr>
                <w:rFonts w:ascii="Times New Roman" w:hAnsi="Times New Roman"/>
                <w:sz w:val="17"/>
              </w:rPr>
              <w:t>3,650</w:t>
            </w:r>
          </w:p>
        </w:tc>
        <w:tc>
          <w:tcPr>
            <w:tcW w:type="dxa" w:w="1728"/>
            <w:tcMar>
              <w:top w:w="40" w:type="dxa"/>
              <w:bottom w:w="40" w:type="dxa"/>
              <w:left w:w="50" w:type="dxa"/>
              <w:right w:w="50" w:type="dxa"/>
            </w:tcMar>
          </w:tcPr>
          <w:p>
            <w:pPr>
              <w:jc w:val="center"/>
            </w:pPr>
            <w:r>
              <w:rPr>
                <w:rFonts w:ascii="Times New Roman" w:hAnsi="Times New Roman"/>
                <w:sz w:val="17"/>
              </w:rPr>
              <w:t>51.82%</w:t>
            </w:r>
          </w:p>
        </w:tc>
        <w:tc>
          <w:tcPr>
            <w:tcW w:type="dxa" w:w="2160"/>
            <w:tcMar>
              <w:top w:w="40" w:type="dxa"/>
              <w:bottom w:w="40" w:type="dxa"/>
              <w:left w:w="50" w:type="dxa"/>
              <w:right w:w="50" w:type="dxa"/>
            </w:tcMar>
          </w:tcPr>
          <w:p>
            <w:pPr>
              <w:jc w:val="left"/>
            </w:pPr>
            <w:r>
              <w:rPr>
                <w:rFonts w:ascii="Times New Roman" w:hAnsi="Times New Roman"/>
                <w:sz w:val="17"/>
              </w:rPr>
              <w:t>Organic Retention (No contact)</w:t>
            </w:r>
          </w:p>
        </w:tc>
      </w:tr>
      <w:tr>
        <w:tc>
          <w:tcPr>
            <w:tcW w:type="dxa" w:w="2016"/>
            <w:tcMar>
              <w:top w:w="40" w:type="dxa"/>
              <w:bottom w:w="40" w:type="dxa"/>
              <w:left w:w="50" w:type="dxa"/>
              <w:right w:w="50" w:type="dxa"/>
            </w:tcMar>
          </w:tcPr>
          <w:p>
            <w:pPr>
              <w:jc w:val="left"/>
            </w:pPr>
            <w:r>
              <w:rPr>
                <w:rFonts w:ascii="Times New Roman" w:hAnsi="Times New Roman"/>
                <w:b/>
                <w:sz w:val="17"/>
              </w:rPr>
              <w:t>Medium Risk</w:t>
            </w:r>
          </w:p>
        </w:tc>
        <w:tc>
          <w:tcPr>
            <w:tcW w:type="dxa" w:w="1872"/>
            <w:tcMar>
              <w:top w:w="40" w:type="dxa"/>
              <w:bottom w:w="40" w:type="dxa"/>
              <w:left w:w="50" w:type="dxa"/>
              <w:right w:w="50" w:type="dxa"/>
            </w:tcMar>
          </w:tcPr>
          <w:p>
            <w:pPr>
              <w:jc w:val="center"/>
            </w:pPr>
            <w:r>
              <w:rPr>
                <w:rFonts w:ascii="Times New Roman" w:hAnsi="Times New Roman"/>
                <w:sz w:val="17"/>
              </w:rPr>
              <w:t>15.0% – 35.0%</w:t>
            </w:r>
          </w:p>
        </w:tc>
        <w:tc>
          <w:tcPr>
            <w:tcW w:type="dxa" w:w="1584"/>
            <w:tcMar>
              <w:top w:w="40" w:type="dxa"/>
              <w:bottom w:w="40" w:type="dxa"/>
              <w:left w:w="50" w:type="dxa"/>
              <w:right w:w="50" w:type="dxa"/>
            </w:tcMar>
          </w:tcPr>
          <w:p>
            <w:pPr>
              <w:jc w:val="center"/>
            </w:pPr>
            <w:r>
              <w:rPr>
                <w:rFonts w:ascii="Times New Roman" w:hAnsi="Times New Roman"/>
                <w:sz w:val="17"/>
              </w:rPr>
              <w:t>1,520</w:t>
            </w:r>
          </w:p>
        </w:tc>
        <w:tc>
          <w:tcPr>
            <w:tcW w:type="dxa" w:w="1728"/>
            <w:tcMar>
              <w:top w:w="40" w:type="dxa"/>
              <w:bottom w:w="40" w:type="dxa"/>
              <w:left w:w="50" w:type="dxa"/>
              <w:right w:w="50" w:type="dxa"/>
            </w:tcMar>
          </w:tcPr>
          <w:p>
            <w:pPr>
              <w:jc w:val="center"/>
            </w:pPr>
            <w:r>
              <w:rPr>
                <w:rFonts w:ascii="Times New Roman" w:hAnsi="Times New Roman"/>
                <w:sz w:val="17"/>
              </w:rPr>
              <w:t>21.58%</w:t>
            </w:r>
          </w:p>
        </w:tc>
        <w:tc>
          <w:tcPr>
            <w:tcW w:type="dxa" w:w="2160"/>
            <w:tcMar>
              <w:top w:w="40" w:type="dxa"/>
              <w:bottom w:w="40" w:type="dxa"/>
              <w:left w:w="50" w:type="dxa"/>
              <w:right w:w="50" w:type="dxa"/>
            </w:tcMar>
          </w:tcPr>
          <w:p>
            <w:pPr>
              <w:jc w:val="left"/>
            </w:pPr>
            <w:r>
              <w:rPr>
                <w:rFonts w:ascii="Times New Roman" w:hAnsi="Times New Roman"/>
                <w:sz w:val="17"/>
              </w:rPr>
              <w:t>Basic Check-in / Tech Support</w:t>
            </w:r>
          </w:p>
        </w:tc>
      </w:tr>
      <w:tr>
        <w:tc>
          <w:tcPr>
            <w:tcW w:type="dxa" w:w="2016"/>
            <w:tcMar>
              <w:top w:w="40" w:type="dxa"/>
              <w:bottom w:w="40" w:type="dxa"/>
              <w:left w:w="50" w:type="dxa"/>
              <w:right w:w="50" w:type="dxa"/>
            </w:tcMar>
          </w:tcPr>
          <w:p>
            <w:pPr>
              <w:jc w:val="left"/>
            </w:pPr>
            <w:r>
              <w:rPr>
                <w:rFonts w:ascii="Times New Roman" w:hAnsi="Times New Roman"/>
                <w:b/>
                <w:sz w:val="17"/>
              </w:rPr>
              <w:t>High Risk</w:t>
            </w:r>
          </w:p>
        </w:tc>
        <w:tc>
          <w:tcPr>
            <w:tcW w:type="dxa" w:w="1872"/>
            <w:tcMar>
              <w:top w:w="40" w:type="dxa"/>
              <w:bottom w:w="40" w:type="dxa"/>
              <w:left w:w="50" w:type="dxa"/>
              <w:right w:w="50" w:type="dxa"/>
            </w:tcMar>
          </w:tcPr>
          <w:p>
            <w:pPr>
              <w:jc w:val="center"/>
            </w:pPr>
            <w:r>
              <w:rPr>
                <w:rFonts w:ascii="Times New Roman" w:hAnsi="Times New Roman"/>
                <w:sz w:val="17"/>
              </w:rPr>
              <w:t>35.0% – 65.0%</w:t>
            </w:r>
          </w:p>
        </w:tc>
        <w:tc>
          <w:tcPr>
            <w:tcW w:type="dxa" w:w="1584"/>
            <w:tcMar>
              <w:top w:w="40" w:type="dxa"/>
              <w:bottom w:w="40" w:type="dxa"/>
              <w:left w:w="50" w:type="dxa"/>
              <w:right w:w="50" w:type="dxa"/>
            </w:tcMar>
          </w:tcPr>
          <w:p>
            <w:pPr>
              <w:jc w:val="center"/>
            </w:pPr>
            <w:r>
              <w:rPr>
                <w:rFonts w:ascii="Times New Roman" w:hAnsi="Times New Roman"/>
                <w:sz w:val="17"/>
              </w:rPr>
              <w:t>1,140</w:t>
            </w:r>
          </w:p>
        </w:tc>
        <w:tc>
          <w:tcPr>
            <w:tcW w:type="dxa" w:w="1728"/>
            <w:tcMar>
              <w:top w:w="40" w:type="dxa"/>
              <w:bottom w:w="40" w:type="dxa"/>
              <w:left w:w="50" w:type="dxa"/>
              <w:right w:w="50" w:type="dxa"/>
            </w:tcMar>
          </w:tcPr>
          <w:p>
            <w:pPr>
              <w:jc w:val="center"/>
            </w:pPr>
            <w:r>
              <w:rPr>
                <w:rFonts w:ascii="Times New Roman" w:hAnsi="Times New Roman"/>
                <w:sz w:val="17"/>
              </w:rPr>
              <w:t>16.19%</w:t>
            </w:r>
          </w:p>
        </w:tc>
        <w:tc>
          <w:tcPr>
            <w:tcW w:type="dxa" w:w="2160"/>
            <w:tcMar>
              <w:top w:w="40" w:type="dxa"/>
              <w:bottom w:w="40" w:type="dxa"/>
              <w:left w:w="50" w:type="dxa"/>
              <w:right w:w="50" w:type="dxa"/>
            </w:tcMar>
          </w:tcPr>
          <w:p>
            <w:pPr>
              <w:jc w:val="left"/>
            </w:pPr>
            <w:r>
              <w:rPr>
                <w:rFonts w:ascii="Times New Roman" w:hAnsi="Times New Roman"/>
                <w:sz w:val="17"/>
              </w:rPr>
              <w:t>15% Bill Discount / Upgrade</w:t>
            </w:r>
          </w:p>
        </w:tc>
      </w:tr>
      <w:tr>
        <w:tc>
          <w:tcPr>
            <w:tcW w:type="dxa" w:w="2016"/>
            <w:tcMar>
              <w:top w:w="40" w:type="dxa"/>
              <w:bottom w:w="40" w:type="dxa"/>
              <w:left w:w="50" w:type="dxa"/>
              <w:right w:w="50" w:type="dxa"/>
            </w:tcMar>
          </w:tcPr>
          <w:p>
            <w:pPr>
              <w:jc w:val="left"/>
            </w:pPr>
            <w:r>
              <w:rPr>
                <w:rFonts w:ascii="Times New Roman" w:hAnsi="Times New Roman"/>
                <w:b/>
                <w:sz w:val="17"/>
              </w:rPr>
              <w:t>Critical Risk</w:t>
            </w:r>
          </w:p>
        </w:tc>
        <w:tc>
          <w:tcPr>
            <w:tcW w:type="dxa" w:w="1872"/>
            <w:tcMar>
              <w:top w:w="40" w:type="dxa"/>
              <w:bottom w:w="40" w:type="dxa"/>
              <w:left w:w="50" w:type="dxa"/>
              <w:right w:w="50" w:type="dxa"/>
            </w:tcMar>
          </w:tcPr>
          <w:p>
            <w:pPr>
              <w:jc w:val="center"/>
            </w:pPr>
            <w:r>
              <w:rPr>
                <w:rFonts w:ascii="Times New Roman" w:hAnsi="Times New Roman"/>
                <w:sz w:val="17"/>
              </w:rPr>
              <w:t>&gt; 65.0%</w:t>
            </w:r>
          </w:p>
        </w:tc>
        <w:tc>
          <w:tcPr>
            <w:tcW w:type="dxa" w:w="1584"/>
            <w:tcMar>
              <w:top w:w="40" w:type="dxa"/>
              <w:bottom w:w="40" w:type="dxa"/>
              <w:left w:w="50" w:type="dxa"/>
              <w:right w:w="50" w:type="dxa"/>
            </w:tcMar>
          </w:tcPr>
          <w:p>
            <w:pPr>
              <w:jc w:val="center"/>
            </w:pPr>
            <w:r>
              <w:rPr>
                <w:rFonts w:ascii="Times New Roman" w:hAnsi="Times New Roman"/>
                <w:sz w:val="17"/>
              </w:rPr>
              <w:t>733</w:t>
            </w:r>
          </w:p>
        </w:tc>
        <w:tc>
          <w:tcPr>
            <w:tcW w:type="dxa" w:w="1728"/>
            <w:tcMar>
              <w:top w:w="40" w:type="dxa"/>
              <w:bottom w:w="40" w:type="dxa"/>
              <w:left w:w="50" w:type="dxa"/>
              <w:right w:w="50" w:type="dxa"/>
            </w:tcMar>
          </w:tcPr>
          <w:p>
            <w:pPr>
              <w:jc w:val="center"/>
            </w:pPr>
            <w:r>
              <w:rPr>
                <w:rFonts w:ascii="Times New Roman" w:hAnsi="Times New Roman"/>
                <w:sz w:val="17"/>
              </w:rPr>
              <w:t>10.41%</w:t>
            </w:r>
          </w:p>
        </w:tc>
        <w:tc>
          <w:tcPr>
            <w:tcW w:type="dxa" w:w="2160"/>
            <w:tcMar>
              <w:top w:w="40" w:type="dxa"/>
              <w:bottom w:w="40" w:type="dxa"/>
              <w:left w:w="50" w:type="dxa"/>
              <w:right w:w="50" w:type="dxa"/>
            </w:tcMar>
          </w:tcPr>
          <w:p>
            <w:pPr>
              <w:jc w:val="left"/>
            </w:pPr>
            <w:r>
              <w:rPr>
                <w:rFonts w:ascii="Times New Roman" w:hAnsi="Times New Roman"/>
                <w:sz w:val="17"/>
              </w:rPr>
              <w:t>Contract Incentive or Fallback</w:t>
            </w:r>
          </w:p>
        </w:tc>
      </w:tr>
    </w:tbl>
    <w:p>
      <w:pPr>
        <w:spacing w:before="80" w:after="200" w:line="276" w:lineRule="auto"/>
        <w:jc w:val="center"/>
      </w:pPr>
      <w:r>
        <w:rPr>
          <w:rFonts w:ascii="Times New Roman" w:hAnsi="Times New Roman"/>
          <w:b/>
          <w:i/>
          <w:sz w:val="18"/>
        </w:rPr>
        <w:t>Table 5.3: Customer Churn Risk Stratification Tier Distribution</w:t>
      </w:r>
    </w:p>
    <w:p>
      <w:pPr>
        <w:spacing w:before="160" w:after="80" w:line="276" w:lineRule="auto"/>
        <w:jc w:val="left"/>
      </w:pPr>
      <w:r>
        <w:rPr>
          <w:rFonts w:ascii="Times New Roman" w:hAnsi="Times New Roman"/>
          <w:b/>
          <w:color w:val="142D55"/>
          <w:sz w:val="26"/>
        </w:rPr>
        <w:t>5.7 TREATMENT EFFECT &amp; UPLIFT MODELING FINDINGS</w:t>
      </w:r>
    </w:p>
    <w:p>
      <w:pPr>
        <w:spacing w:before="0" w:after="80" w:line="276" w:lineRule="auto"/>
        <w:jc w:val="both"/>
      </w:pPr>
      <w:r>
        <w:rPr>
          <w:rFonts w:ascii="Times New Roman" w:hAnsi="Times New Roman"/>
          <w:color w:val="1E232D"/>
          <w:sz w:val="22"/>
        </w:rPr>
        <w:t>Causal uplift models were evaluated across the three Meta-Learner paradigms. Table 5.4 reports the Precision in Estimating Heterogeneous Effect (PEHE RMSE) and cumulative Qini scores across learners: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3600"/>
            <w:shd w:fill="152035"/>
            <w:tcMar>
              <w:top w:w="50" w:type="dxa"/>
              <w:bottom w:w="50" w:type="dxa"/>
              <w:left w:w="60" w:type="dxa"/>
              <w:right w:w="60" w:type="dxa"/>
            </w:tcMar>
          </w:tcPr>
          <w:p>
            <w:pPr>
              <w:jc w:val="left"/>
            </w:pPr>
            <w:r>
              <w:rPr>
                <w:rFonts w:ascii="Times New Roman" w:hAnsi="Times New Roman"/>
                <w:b/>
                <w:color w:val="FFFFFF"/>
                <w:sz w:val="17"/>
              </w:rPr>
              <w:t>META-LEARNER ARCHITECTURE</w:t>
            </w:r>
          </w:p>
        </w:tc>
        <w:tc>
          <w:tcPr>
            <w:tcW w:type="dxa" w:w="2880"/>
            <w:shd w:fill="152035"/>
            <w:tcMar>
              <w:top w:w="50" w:type="dxa"/>
              <w:bottom w:w="50" w:type="dxa"/>
              <w:left w:w="60" w:type="dxa"/>
              <w:right w:w="60" w:type="dxa"/>
            </w:tcMar>
          </w:tcPr>
          <w:p>
            <w:pPr>
              <w:jc w:val="center"/>
            </w:pPr>
            <w:r>
              <w:rPr>
                <w:rFonts w:ascii="Times New Roman" w:hAnsi="Times New Roman"/>
                <w:b/>
                <w:color w:val="FFFFFF"/>
                <w:sz w:val="17"/>
              </w:rPr>
              <w:t>MEAN PEHE RMSE</w:t>
            </w:r>
          </w:p>
        </w:tc>
        <w:tc>
          <w:tcPr>
            <w:tcW w:type="dxa" w:w="2880"/>
            <w:shd w:fill="152035"/>
            <w:tcMar>
              <w:top w:w="50" w:type="dxa"/>
              <w:bottom w:w="50" w:type="dxa"/>
              <w:left w:w="60" w:type="dxa"/>
              <w:right w:w="60" w:type="dxa"/>
            </w:tcMar>
          </w:tcPr>
          <w:p>
            <w:pPr>
              <w:jc w:val="center"/>
            </w:pPr>
            <w:r>
              <w:rPr>
                <w:rFonts w:ascii="Times New Roman" w:hAnsi="Times New Roman"/>
                <w:b/>
                <w:color w:val="FFFFFF"/>
                <w:sz w:val="17"/>
              </w:rPr>
              <w:t>MEAN QINI SCORE</w:t>
            </w:r>
          </w:p>
        </w:tc>
      </w:tr>
      <w:tr>
        <w:tc>
          <w:tcPr>
            <w:tcW w:type="dxa" w:w="3600"/>
            <w:tcMar>
              <w:top w:w="40" w:type="dxa"/>
              <w:bottom w:w="40" w:type="dxa"/>
              <w:left w:w="60" w:type="dxa"/>
              <w:right w:w="60" w:type="dxa"/>
            </w:tcMar>
          </w:tcPr>
          <w:p>
            <w:pPr>
              <w:jc w:val="left"/>
            </w:pPr>
            <w:r>
              <w:rPr>
                <w:rFonts w:ascii="Times New Roman" w:hAnsi="Times New Roman"/>
                <w:b/>
                <w:sz w:val="17"/>
              </w:rPr>
              <w:t>S-Learner (Single Model)</w:t>
            </w:r>
          </w:p>
        </w:tc>
        <w:tc>
          <w:tcPr>
            <w:tcW w:type="dxa" w:w="2880"/>
            <w:tcMar>
              <w:top w:w="40" w:type="dxa"/>
              <w:bottom w:w="40" w:type="dxa"/>
              <w:left w:w="60" w:type="dxa"/>
              <w:right w:w="60" w:type="dxa"/>
            </w:tcMar>
          </w:tcPr>
          <w:p>
            <w:pPr>
              <w:jc w:val="center"/>
            </w:pPr>
            <w:r>
              <w:rPr>
                <w:rFonts w:ascii="Times New Roman" w:hAnsi="Times New Roman"/>
                <w:sz w:val="17"/>
              </w:rPr>
              <w:t>0.1259</w:t>
            </w:r>
          </w:p>
        </w:tc>
        <w:tc>
          <w:tcPr>
            <w:tcW w:type="dxa" w:w="2880"/>
            <w:tcMar>
              <w:top w:w="40" w:type="dxa"/>
              <w:bottom w:w="40" w:type="dxa"/>
              <w:left w:w="60" w:type="dxa"/>
              <w:right w:w="60" w:type="dxa"/>
            </w:tcMar>
          </w:tcPr>
          <w:p>
            <w:pPr>
              <w:jc w:val="center"/>
            </w:pPr>
            <w:r>
              <w:rPr>
                <w:rFonts w:ascii="Times New Roman" w:hAnsi="Times New Roman"/>
                <w:sz w:val="17"/>
              </w:rPr>
              <w:t>0.4046</w:t>
            </w:r>
          </w:p>
        </w:tc>
      </w:tr>
      <w:tr>
        <w:tc>
          <w:tcPr>
            <w:tcW w:type="dxa" w:w="3600"/>
            <w:tcMar>
              <w:top w:w="40" w:type="dxa"/>
              <w:bottom w:w="40" w:type="dxa"/>
              <w:left w:w="60" w:type="dxa"/>
              <w:right w:w="60" w:type="dxa"/>
            </w:tcMar>
          </w:tcPr>
          <w:p>
            <w:pPr>
              <w:jc w:val="left"/>
            </w:pPr>
            <w:r>
              <w:rPr>
                <w:rFonts w:ascii="Times New Roman" w:hAnsi="Times New Roman"/>
                <w:b/>
                <w:sz w:val="17"/>
              </w:rPr>
              <w:t>T-Learner (Two-Model / Multi-Arm)</w:t>
            </w:r>
          </w:p>
        </w:tc>
        <w:tc>
          <w:tcPr>
            <w:tcW w:type="dxa" w:w="2880"/>
            <w:tcMar>
              <w:top w:w="40" w:type="dxa"/>
              <w:bottom w:w="40" w:type="dxa"/>
              <w:left w:w="60" w:type="dxa"/>
              <w:right w:w="60" w:type="dxa"/>
            </w:tcMar>
          </w:tcPr>
          <w:p>
            <w:pPr>
              <w:jc w:val="center"/>
            </w:pPr>
            <w:r>
              <w:rPr>
                <w:rFonts w:ascii="Times New Roman" w:hAnsi="Times New Roman"/>
                <w:sz w:val="17"/>
              </w:rPr>
              <w:t>0.2132</w:t>
            </w:r>
          </w:p>
        </w:tc>
        <w:tc>
          <w:tcPr>
            <w:tcW w:type="dxa" w:w="2880"/>
            <w:tcMar>
              <w:top w:w="40" w:type="dxa"/>
              <w:bottom w:w="40" w:type="dxa"/>
              <w:left w:w="60" w:type="dxa"/>
              <w:right w:w="60" w:type="dxa"/>
            </w:tcMar>
          </w:tcPr>
          <w:p>
            <w:pPr>
              <w:jc w:val="center"/>
            </w:pPr>
            <w:r>
              <w:rPr>
                <w:rFonts w:ascii="Times New Roman" w:hAnsi="Times New Roman"/>
                <w:b/>
                <w:color w:val="1E6E32"/>
                <w:sz w:val="17"/>
              </w:rPr>
              <w:t>0.6920</w:t>
            </w:r>
          </w:p>
        </w:tc>
      </w:tr>
      <w:tr>
        <w:tc>
          <w:tcPr>
            <w:tcW w:type="dxa" w:w="3600"/>
            <w:tcMar>
              <w:top w:w="40" w:type="dxa"/>
              <w:bottom w:w="40" w:type="dxa"/>
              <w:left w:w="60" w:type="dxa"/>
              <w:right w:w="60" w:type="dxa"/>
            </w:tcMar>
          </w:tcPr>
          <w:p>
            <w:pPr>
              <w:jc w:val="left"/>
            </w:pPr>
            <w:r>
              <w:rPr>
                <w:rFonts w:ascii="Times New Roman" w:hAnsi="Times New Roman"/>
                <w:b/>
                <w:sz w:val="17"/>
              </w:rPr>
              <w:t>X-Learner (Crossover Imputation)</w:t>
            </w:r>
          </w:p>
        </w:tc>
        <w:tc>
          <w:tcPr>
            <w:tcW w:type="dxa" w:w="2880"/>
            <w:tcMar>
              <w:top w:w="40" w:type="dxa"/>
              <w:bottom w:w="40" w:type="dxa"/>
              <w:left w:w="60" w:type="dxa"/>
              <w:right w:w="60" w:type="dxa"/>
            </w:tcMar>
          </w:tcPr>
          <w:p>
            <w:pPr>
              <w:jc w:val="center"/>
            </w:pPr>
            <w:r>
              <w:rPr>
                <w:rFonts w:ascii="Times New Roman" w:hAnsi="Times New Roman"/>
                <w:sz w:val="17"/>
              </w:rPr>
              <w:t>0.1437</w:t>
            </w:r>
          </w:p>
        </w:tc>
        <w:tc>
          <w:tcPr>
            <w:tcW w:type="dxa" w:w="2880"/>
            <w:tcMar>
              <w:top w:w="40" w:type="dxa"/>
              <w:bottom w:w="40" w:type="dxa"/>
              <w:left w:w="60" w:type="dxa"/>
              <w:right w:w="60" w:type="dxa"/>
            </w:tcMar>
          </w:tcPr>
          <w:p>
            <w:pPr>
              <w:jc w:val="center"/>
            </w:pPr>
            <w:r>
              <w:rPr>
                <w:rFonts w:ascii="Times New Roman" w:hAnsi="Times New Roman"/>
                <w:sz w:val="17"/>
              </w:rPr>
              <w:t>0.6513</w:t>
            </w:r>
          </w:p>
        </w:tc>
      </w:tr>
    </w:tbl>
    <w:p>
      <w:pPr>
        <w:spacing w:before="80" w:after="200" w:line="276" w:lineRule="auto"/>
        <w:jc w:val="center"/>
      </w:pPr>
      <w:r>
        <w:rPr>
          <w:rFonts w:ascii="Times New Roman" w:hAnsi="Times New Roman"/>
          <w:b/>
          <w:i/>
          <w:sz w:val="18"/>
        </w:rPr>
        <w:t>Table 5.4: Causal Uplift Meta-Learner Performance Evaluation</w:t>
      </w:r>
    </w:p>
    <w:p>
      <w:pPr>
        <w:spacing w:before="0" w:after="80" w:line="276" w:lineRule="auto"/>
        <w:jc w:val="both"/>
      </w:pPr>
      <w:r>
        <w:rPr>
          <w:rFonts w:ascii="Times New Roman" w:hAnsi="Times New Roman"/>
          <w:color w:val="1E232D"/>
          <w:sz w:val="22"/>
        </w:rPr>
        <w:t>Figure 5.6 illustrates the empirical Conditional Average Treatment Effect (CATE) distributions across all four candidate interventions:</w:t>
      </w:r>
    </w:p>
    <w:p>
      <w:pPr>
        <w:spacing w:before="120" w:after="60"/>
        <w:jc w:val="center"/>
      </w:pPr>
      <w:r>
        <w:drawing>
          <wp:inline xmlns:a="http://schemas.openxmlformats.org/drawingml/2006/main" xmlns:pic="http://schemas.openxmlformats.org/drawingml/2006/picture">
            <wp:extent cx="4754880" cy="2641600"/>
            <wp:docPr id="12" name="Picture 12"/>
            <wp:cNvGraphicFramePr>
              <a:graphicFrameLocks noChangeAspect="1"/>
            </wp:cNvGraphicFramePr>
            <a:graphic>
              <a:graphicData uri="http://schemas.openxmlformats.org/drawingml/2006/picture">
                <pic:pic>
                  <pic:nvPicPr>
                    <pic:cNvPr id="0" name="cate_distributions.png"/>
                    <pic:cNvPicPr/>
                  </pic:nvPicPr>
                  <pic:blipFill>
                    <a:blip r:embed="rId22"/>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83246"/>
          <w:sz w:val="19"/>
        </w:rPr>
        <w:t>Figure 5.6: Conditional Average Treatment Effect (CATE) Distributions Across Four Interventions</w:t>
      </w:r>
    </w:p>
    <w:p>
      <w:pPr>
        <w:spacing w:before="0" w:after="160" w:line="276" w:lineRule="auto"/>
        <w:jc w:val="both"/>
      </w:pPr>
      <w:r>
        <w:rPr>
          <w:rFonts w:ascii="Times New Roman" w:hAnsi="Times New Roman"/>
          <w:color w:val="1E232D"/>
          <w:sz w:val="22"/>
        </w:rPr>
        <w:t>As shown in Table 5.4 and Figure 5.6, the T-Learner achieved the highest Qini score (0.6920), demonstrating superior ability to discriminate between high-uplift persuadables and low-uplift customers. The Long-Term Contract Incentive produced the highest mean absolute uplift (+16.8% Delta S), followed by the 15% Bill Discount (+14.2% Delta S), Tech Support (+7.9% Delta S), and Basic Check-in (+3.4% Delta S). However, because unit costs vary substantially ($5 to $35), higher uplift does not automatically translate into higher net economic value.</w:t>
      </w:r>
    </w:p>
    <w:p>
      <w:pPr>
        <w:spacing w:before="160" w:after="80" w:line="276" w:lineRule="auto"/>
        <w:jc w:val="left"/>
      </w:pPr>
      <w:r>
        <w:rPr>
          <w:rFonts w:ascii="Times New Roman" w:hAnsi="Times New Roman"/>
          <w:b/>
          <w:color w:val="142D55"/>
          <w:sz w:val="26"/>
        </w:rPr>
        <w:t>5.8 PRESCRIPTIVE RANKING &amp; PORTFOLIO ERV OPTIMIZATION</w:t>
      </w:r>
    </w:p>
    <w:p>
      <w:pPr>
        <w:spacing w:before="0" w:after="80" w:line="276" w:lineRule="auto"/>
        <w:jc w:val="both"/>
      </w:pPr>
      <w:r>
        <w:rPr>
          <w:rFonts w:ascii="Times New Roman" w:hAnsi="Times New Roman"/>
          <w:color w:val="1E232D"/>
          <w:sz w:val="22"/>
        </w:rPr>
        <w:t>To evaluate enterprise capital allocation, a portfolio optimization sweep was simulated across the 1,873 customers in the High and Critical risk tiers under varying marketing budget constraints ranging from $1,000 to $25,000 USD. Table 5.5 summarizes the campaign frontier results: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1584"/>
            <w:shd w:fill="152035"/>
            <w:tcMar>
              <w:top w:w="50" w:type="dxa"/>
              <w:bottom w:w="50" w:type="dxa"/>
              <w:left w:w="50" w:type="dxa"/>
              <w:right w:w="50" w:type="dxa"/>
            </w:tcMar>
          </w:tcPr>
          <w:p>
            <w:pPr>
              <w:jc w:val="left"/>
            </w:pPr>
            <w:r>
              <w:rPr>
                <w:rFonts w:ascii="Times New Roman" w:hAnsi="Times New Roman"/>
                <w:b/>
                <w:color w:val="FFFFFF"/>
                <w:sz w:val="17"/>
              </w:rPr>
              <w:t>BUDGET CAP</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ALLOCATED</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TOTAL SPEND</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GROSS REV.</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NET ERV</w:t>
            </w:r>
          </w:p>
        </w:tc>
        <w:tc>
          <w:tcPr>
            <w:tcW w:type="dxa" w:w="1440"/>
            <w:shd w:fill="152035"/>
            <w:tcMar>
              <w:top w:w="50" w:type="dxa"/>
              <w:bottom w:w="50" w:type="dxa"/>
              <w:left w:w="50" w:type="dxa"/>
              <w:right w:w="50" w:type="dxa"/>
            </w:tcMar>
          </w:tcPr>
          <w:p>
            <w:pPr>
              <w:jc w:val="center"/>
            </w:pPr>
            <w:r>
              <w:rPr>
                <w:rFonts w:ascii="Times New Roman" w:hAnsi="Times New Roman"/>
                <w:b/>
                <w:color w:val="FFFFFF"/>
                <w:sz w:val="17"/>
              </w:rPr>
              <w:t>NET ROI</w:t>
            </w:r>
          </w:p>
        </w:tc>
      </w:tr>
      <w:tr>
        <w:tc>
          <w:tcPr>
            <w:tcW w:type="dxa" w:w="1584"/>
            <w:tcMar>
              <w:top w:w="40" w:type="dxa"/>
              <w:bottom w:w="40" w:type="dxa"/>
              <w:left w:w="50" w:type="dxa"/>
              <w:right w:w="50" w:type="dxa"/>
            </w:tcMar>
          </w:tcPr>
          <w:p>
            <w:pPr>
              <w:jc w:val="left"/>
            </w:pPr>
            <w:r>
              <w:rPr>
                <w:rFonts w:ascii="Times New Roman" w:hAnsi="Times New Roman"/>
                <w:b/>
                <w:sz w:val="17"/>
              </w:rPr>
              <w:t>$2,500</w:t>
            </w:r>
          </w:p>
        </w:tc>
        <w:tc>
          <w:tcPr>
            <w:tcW w:type="dxa" w:w="1584"/>
            <w:tcMar>
              <w:top w:w="40" w:type="dxa"/>
              <w:bottom w:w="40" w:type="dxa"/>
              <w:left w:w="50" w:type="dxa"/>
              <w:right w:w="50" w:type="dxa"/>
            </w:tcMar>
          </w:tcPr>
          <w:p>
            <w:pPr>
              <w:jc w:val="center"/>
            </w:pPr>
            <w:r>
              <w:rPr>
                <w:rFonts w:ascii="Times New Roman" w:hAnsi="Times New Roman"/>
                <w:sz w:val="17"/>
              </w:rPr>
              <w:t>210</w:t>
            </w:r>
          </w:p>
        </w:tc>
        <w:tc>
          <w:tcPr>
            <w:tcW w:type="dxa" w:w="1584"/>
            <w:tcMar>
              <w:top w:w="40" w:type="dxa"/>
              <w:bottom w:w="40" w:type="dxa"/>
              <w:left w:w="50" w:type="dxa"/>
              <w:right w:w="50" w:type="dxa"/>
            </w:tcMar>
          </w:tcPr>
          <w:p>
            <w:pPr>
              <w:jc w:val="center"/>
            </w:pPr>
            <w:r>
              <w:rPr>
                <w:rFonts w:ascii="Times New Roman" w:hAnsi="Times New Roman"/>
                <w:sz w:val="17"/>
              </w:rPr>
              <w:t>$2,480</w:t>
            </w:r>
          </w:p>
        </w:tc>
        <w:tc>
          <w:tcPr>
            <w:tcW w:type="dxa" w:w="1584"/>
            <w:tcMar>
              <w:top w:w="40" w:type="dxa"/>
              <w:bottom w:w="40" w:type="dxa"/>
              <w:left w:w="50" w:type="dxa"/>
              <w:right w:w="50" w:type="dxa"/>
            </w:tcMar>
          </w:tcPr>
          <w:p>
            <w:pPr>
              <w:jc w:val="center"/>
            </w:pPr>
            <w:r>
              <w:rPr>
                <w:rFonts w:ascii="Times New Roman" w:hAnsi="Times New Roman"/>
                <w:sz w:val="17"/>
              </w:rPr>
              <w:t>$14,200</w:t>
            </w:r>
          </w:p>
        </w:tc>
        <w:tc>
          <w:tcPr>
            <w:tcW w:type="dxa" w:w="1584"/>
            <w:tcMar>
              <w:top w:w="40" w:type="dxa"/>
              <w:bottom w:w="40" w:type="dxa"/>
              <w:left w:w="50" w:type="dxa"/>
              <w:right w:w="50" w:type="dxa"/>
            </w:tcMar>
          </w:tcPr>
          <w:p>
            <w:pPr>
              <w:jc w:val="center"/>
            </w:pPr>
            <w:r>
              <w:rPr>
                <w:rFonts w:ascii="Times New Roman" w:hAnsi="Times New Roman"/>
                <w:sz w:val="17"/>
              </w:rPr>
              <w:t>$11,720</w:t>
            </w:r>
          </w:p>
        </w:tc>
        <w:tc>
          <w:tcPr>
            <w:tcW w:type="dxa" w:w="1440"/>
            <w:tcMar>
              <w:top w:w="40" w:type="dxa"/>
              <w:bottom w:w="40" w:type="dxa"/>
              <w:left w:w="50" w:type="dxa"/>
              <w:right w:w="50" w:type="dxa"/>
            </w:tcMar>
          </w:tcPr>
          <w:p>
            <w:pPr>
              <w:jc w:val="center"/>
            </w:pPr>
            <w:r>
              <w:rPr>
                <w:rFonts w:ascii="Times New Roman" w:hAnsi="Times New Roman"/>
                <w:sz w:val="17"/>
              </w:rPr>
              <w:t>472.6%</w:t>
            </w:r>
          </w:p>
        </w:tc>
      </w:tr>
      <w:tr>
        <w:tc>
          <w:tcPr>
            <w:tcW w:type="dxa" w:w="1584"/>
            <w:tcMar>
              <w:top w:w="40" w:type="dxa"/>
              <w:bottom w:w="40" w:type="dxa"/>
              <w:left w:w="50" w:type="dxa"/>
              <w:right w:w="50" w:type="dxa"/>
            </w:tcMar>
          </w:tcPr>
          <w:p>
            <w:pPr>
              <w:jc w:val="left"/>
            </w:pPr>
            <w:r>
              <w:rPr>
                <w:rFonts w:ascii="Times New Roman" w:hAnsi="Times New Roman"/>
                <w:b/>
                <w:sz w:val="17"/>
              </w:rPr>
              <w:t>$5,000</w:t>
            </w:r>
          </w:p>
        </w:tc>
        <w:tc>
          <w:tcPr>
            <w:tcW w:type="dxa" w:w="1584"/>
            <w:tcMar>
              <w:top w:w="40" w:type="dxa"/>
              <w:bottom w:w="40" w:type="dxa"/>
              <w:left w:w="50" w:type="dxa"/>
              <w:right w:w="50" w:type="dxa"/>
            </w:tcMar>
          </w:tcPr>
          <w:p>
            <w:pPr>
              <w:jc w:val="center"/>
            </w:pPr>
            <w:r>
              <w:rPr>
                <w:rFonts w:ascii="Times New Roman" w:hAnsi="Times New Roman"/>
                <w:sz w:val="17"/>
              </w:rPr>
              <w:t>445</w:t>
            </w:r>
          </w:p>
        </w:tc>
        <w:tc>
          <w:tcPr>
            <w:tcW w:type="dxa" w:w="1584"/>
            <w:tcMar>
              <w:top w:w="40" w:type="dxa"/>
              <w:bottom w:w="40" w:type="dxa"/>
              <w:left w:w="50" w:type="dxa"/>
              <w:right w:w="50" w:type="dxa"/>
            </w:tcMar>
          </w:tcPr>
          <w:p>
            <w:pPr>
              <w:jc w:val="center"/>
            </w:pPr>
            <w:r>
              <w:rPr>
                <w:rFonts w:ascii="Times New Roman" w:hAnsi="Times New Roman"/>
                <w:sz w:val="17"/>
              </w:rPr>
              <w:t>$4,960</w:t>
            </w:r>
          </w:p>
        </w:tc>
        <w:tc>
          <w:tcPr>
            <w:tcW w:type="dxa" w:w="1584"/>
            <w:tcMar>
              <w:top w:w="40" w:type="dxa"/>
              <w:bottom w:w="40" w:type="dxa"/>
              <w:left w:w="50" w:type="dxa"/>
              <w:right w:w="50" w:type="dxa"/>
            </w:tcMar>
          </w:tcPr>
          <w:p>
            <w:pPr>
              <w:jc w:val="center"/>
            </w:pPr>
            <w:r>
              <w:rPr>
                <w:rFonts w:ascii="Times New Roman" w:hAnsi="Times New Roman"/>
                <w:sz w:val="17"/>
              </w:rPr>
              <w:t>$27,800</w:t>
            </w:r>
          </w:p>
        </w:tc>
        <w:tc>
          <w:tcPr>
            <w:tcW w:type="dxa" w:w="1584"/>
            <w:tcMar>
              <w:top w:w="40" w:type="dxa"/>
              <w:bottom w:w="40" w:type="dxa"/>
              <w:left w:w="50" w:type="dxa"/>
              <w:right w:w="50" w:type="dxa"/>
            </w:tcMar>
          </w:tcPr>
          <w:p>
            <w:pPr>
              <w:jc w:val="center"/>
            </w:pPr>
            <w:r>
              <w:rPr>
                <w:rFonts w:ascii="Times New Roman" w:hAnsi="Times New Roman"/>
                <w:sz w:val="17"/>
              </w:rPr>
              <w:t>$22,840</w:t>
            </w:r>
          </w:p>
        </w:tc>
        <w:tc>
          <w:tcPr>
            <w:tcW w:type="dxa" w:w="1440"/>
            <w:tcMar>
              <w:top w:w="40" w:type="dxa"/>
              <w:bottom w:w="40" w:type="dxa"/>
              <w:left w:w="50" w:type="dxa"/>
              <w:right w:w="50" w:type="dxa"/>
            </w:tcMar>
          </w:tcPr>
          <w:p>
            <w:pPr>
              <w:jc w:val="center"/>
            </w:pPr>
            <w:r>
              <w:rPr>
                <w:rFonts w:ascii="Times New Roman" w:hAnsi="Times New Roman"/>
                <w:sz w:val="17"/>
              </w:rPr>
              <w:t>460.5%</w:t>
            </w:r>
          </w:p>
        </w:tc>
      </w:tr>
      <w:tr>
        <w:tc>
          <w:tcPr>
            <w:tcW w:type="dxa" w:w="1584"/>
            <w:tcMar>
              <w:top w:w="40" w:type="dxa"/>
              <w:bottom w:w="40" w:type="dxa"/>
              <w:left w:w="50" w:type="dxa"/>
              <w:right w:w="50" w:type="dxa"/>
            </w:tcMar>
          </w:tcPr>
          <w:p>
            <w:pPr>
              <w:jc w:val="left"/>
            </w:pPr>
            <w:r>
              <w:rPr>
                <w:rFonts w:ascii="Times New Roman" w:hAnsi="Times New Roman"/>
                <w:b/>
                <w:sz w:val="17"/>
              </w:rPr>
              <w:t>$10,000</w:t>
            </w:r>
          </w:p>
        </w:tc>
        <w:tc>
          <w:tcPr>
            <w:tcW w:type="dxa" w:w="1584"/>
            <w:tcMar>
              <w:top w:w="40" w:type="dxa"/>
              <w:bottom w:w="40" w:type="dxa"/>
              <w:left w:w="50" w:type="dxa"/>
              <w:right w:w="50" w:type="dxa"/>
            </w:tcMar>
          </w:tcPr>
          <w:p>
            <w:pPr>
              <w:jc w:val="center"/>
            </w:pPr>
            <w:r>
              <w:rPr>
                <w:rFonts w:ascii="Times New Roman" w:hAnsi="Times New Roman"/>
                <w:sz w:val="17"/>
              </w:rPr>
              <w:t>890</w:t>
            </w:r>
          </w:p>
        </w:tc>
        <w:tc>
          <w:tcPr>
            <w:tcW w:type="dxa" w:w="1584"/>
            <w:tcMar>
              <w:top w:w="40" w:type="dxa"/>
              <w:bottom w:w="40" w:type="dxa"/>
              <w:left w:w="50" w:type="dxa"/>
              <w:right w:w="50" w:type="dxa"/>
            </w:tcMar>
          </w:tcPr>
          <w:p>
            <w:pPr>
              <w:jc w:val="center"/>
            </w:pPr>
            <w:r>
              <w:rPr>
                <w:rFonts w:ascii="Times New Roman" w:hAnsi="Times New Roman"/>
                <w:sz w:val="17"/>
              </w:rPr>
              <w:t>$9,920</w:t>
            </w:r>
          </w:p>
        </w:tc>
        <w:tc>
          <w:tcPr>
            <w:tcW w:type="dxa" w:w="1584"/>
            <w:tcMar>
              <w:top w:w="40" w:type="dxa"/>
              <w:bottom w:w="40" w:type="dxa"/>
              <w:left w:w="50" w:type="dxa"/>
              <w:right w:w="50" w:type="dxa"/>
            </w:tcMar>
          </w:tcPr>
          <w:p>
            <w:pPr>
              <w:jc w:val="center"/>
            </w:pPr>
            <w:r>
              <w:rPr>
                <w:rFonts w:ascii="Times New Roman" w:hAnsi="Times New Roman"/>
                <w:sz w:val="17"/>
              </w:rPr>
              <w:t>$48,600</w:t>
            </w:r>
          </w:p>
        </w:tc>
        <w:tc>
          <w:tcPr>
            <w:tcW w:type="dxa" w:w="1584"/>
            <w:tcMar>
              <w:top w:w="40" w:type="dxa"/>
              <w:bottom w:w="40" w:type="dxa"/>
              <w:left w:w="50" w:type="dxa"/>
              <w:right w:w="50" w:type="dxa"/>
            </w:tcMar>
          </w:tcPr>
          <w:p>
            <w:pPr>
              <w:jc w:val="center"/>
            </w:pPr>
            <w:r>
              <w:rPr>
                <w:rFonts w:ascii="Times New Roman" w:hAnsi="Times New Roman"/>
                <w:sz w:val="17"/>
              </w:rPr>
              <w:t>$38,680</w:t>
            </w:r>
          </w:p>
        </w:tc>
        <w:tc>
          <w:tcPr>
            <w:tcW w:type="dxa" w:w="1440"/>
            <w:tcMar>
              <w:top w:w="40" w:type="dxa"/>
              <w:bottom w:w="40" w:type="dxa"/>
              <w:left w:w="50" w:type="dxa"/>
              <w:right w:w="50" w:type="dxa"/>
            </w:tcMar>
          </w:tcPr>
          <w:p>
            <w:pPr>
              <w:jc w:val="center"/>
            </w:pPr>
            <w:r>
              <w:rPr>
                <w:rFonts w:ascii="Times New Roman" w:hAnsi="Times New Roman"/>
                <w:sz w:val="17"/>
              </w:rPr>
              <w:t>389.9%</w:t>
            </w:r>
          </w:p>
        </w:tc>
      </w:tr>
      <w:tr>
        <w:tc>
          <w:tcPr>
            <w:tcW w:type="dxa" w:w="1584"/>
            <w:tcMar>
              <w:top w:w="40" w:type="dxa"/>
              <w:bottom w:w="40" w:type="dxa"/>
              <w:left w:w="50" w:type="dxa"/>
              <w:right w:w="50" w:type="dxa"/>
            </w:tcMar>
          </w:tcPr>
          <w:p>
            <w:pPr>
              <w:jc w:val="left"/>
            </w:pPr>
            <w:r>
              <w:rPr>
                <w:rFonts w:ascii="Times New Roman" w:hAnsi="Times New Roman"/>
                <w:b/>
                <w:sz w:val="17"/>
              </w:rPr>
              <w:t>$15,000</w:t>
            </w:r>
          </w:p>
        </w:tc>
        <w:tc>
          <w:tcPr>
            <w:tcW w:type="dxa" w:w="1584"/>
            <w:tcMar>
              <w:top w:w="40" w:type="dxa"/>
              <w:bottom w:w="40" w:type="dxa"/>
              <w:left w:w="50" w:type="dxa"/>
              <w:right w:w="50" w:type="dxa"/>
            </w:tcMar>
          </w:tcPr>
          <w:p>
            <w:pPr>
              <w:jc w:val="center"/>
            </w:pPr>
            <w:r>
              <w:rPr>
                <w:rFonts w:ascii="Times New Roman" w:hAnsi="Times New Roman"/>
                <w:sz w:val="17"/>
              </w:rPr>
              <w:t>1,248</w:t>
            </w:r>
          </w:p>
        </w:tc>
        <w:tc>
          <w:tcPr>
            <w:tcW w:type="dxa" w:w="1584"/>
            <w:tcMar>
              <w:top w:w="40" w:type="dxa"/>
              <w:bottom w:w="40" w:type="dxa"/>
              <w:left w:w="50" w:type="dxa"/>
              <w:right w:w="50" w:type="dxa"/>
            </w:tcMar>
          </w:tcPr>
          <w:p>
            <w:pPr>
              <w:jc w:val="center"/>
            </w:pPr>
            <w:r>
              <w:rPr>
                <w:rFonts w:ascii="Times New Roman" w:hAnsi="Times New Roman"/>
                <w:sz w:val="17"/>
              </w:rPr>
              <w:t>$14,860</w:t>
            </w:r>
          </w:p>
        </w:tc>
        <w:tc>
          <w:tcPr>
            <w:tcW w:type="dxa" w:w="1584"/>
            <w:tcMar>
              <w:top w:w="40" w:type="dxa"/>
              <w:bottom w:w="40" w:type="dxa"/>
              <w:left w:w="50" w:type="dxa"/>
              <w:right w:w="50" w:type="dxa"/>
            </w:tcMar>
          </w:tcPr>
          <w:p>
            <w:pPr>
              <w:jc w:val="center"/>
            </w:pPr>
            <w:r>
              <w:rPr>
                <w:rFonts w:ascii="Times New Roman" w:hAnsi="Times New Roman"/>
                <w:sz w:val="17"/>
              </w:rPr>
              <w:t>$63,780</w:t>
            </w:r>
          </w:p>
        </w:tc>
        <w:tc>
          <w:tcPr>
            <w:tcW w:type="dxa" w:w="1584"/>
            <w:tcMar>
              <w:top w:w="40" w:type="dxa"/>
              <w:bottom w:w="40" w:type="dxa"/>
              <w:left w:w="50" w:type="dxa"/>
              <w:right w:w="50" w:type="dxa"/>
            </w:tcMar>
          </w:tcPr>
          <w:p>
            <w:pPr>
              <w:jc w:val="center"/>
            </w:pPr>
            <w:r>
              <w:rPr>
                <w:rFonts w:ascii="Times New Roman" w:hAnsi="Times New Roman"/>
                <w:b/>
                <w:color w:val="1E6E32"/>
                <w:sz w:val="17"/>
              </w:rPr>
              <w:t>$48,920</w:t>
            </w:r>
          </w:p>
        </w:tc>
        <w:tc>
          <w:tcPr>
            <w:tcW w:type="dxa" w:w="1440"/>
            <w:tcMar>
              <w:top w:w="40" w:type="dxa"/>
              <w:bottom w:w="40" w:type="dxa"/>
              <w:left w:w="50" w:type="dxa"/>
              <w:right w:w="50" w:type="dxa"/>
            </w:tcMar>
          </w:tcPr>
          <w:p>
            <w:pPr>
              <w:jc w:val="center"/>
            </w:pPr>
            <w:r>
              <w:rPr>
                <w:rFonts w:ascii="Times New Roman" w:hAnsi="Times New Roman"/>
                <w:b/>
                <w:color w:val="1E6E32"/>
                <w:sz w:val="17"/>
              </w:rPr>
              <w:t>329.2%</w:t>
            </w:r>
          </w:p>
        </w:tc>
      </w:tr>
      <w:tr>
        <w:tc>
          <w:tcPr>
            <w:tcW w:type="dxa" w:w="1584"/>
            <w:tcMar>
              <w:top w:w="40" w:type="dxa"/>
              <w:bottom w:w="40" w:type="dxa"/>
              <w:left w:w="50" w:type="dxa"/>
              <w:right w:w="50" w:type="dxa"/>
            </w:tcMar>
          </w:tcPr>
          <w:p>
            <w:pPr>
              <w:jc w:val="left"/>
            </w:pPr>
            <w:r>
              <w:rPr>
                <w:rFonts w:ascii="Times New Roman" w:hAnsi="Times New Roman"/>
                <w:b/>
                <w:sz w:val="17"/>
              </w:rPr>
              <w:t>$20,000</w:t>
            </w:r>
          </w:p>
        </w:tc>
        <w:tc>
          <w:tcPr>
            <w:tcW w:type="dxa" w:w="1584"/>
            <w:tcMar>
              <w:top w:w="40" w:type="dxa"/>
              <w:bottom w:w="40" w:type="dxa"/>
              <w:left w:w="50" w:type="dxa"/>
              <w:right w:w="50" w:type="dxa"/>
            </w:tcMar>
          </w:tcPr>
          <w:p>
            <w:pPr>
              <w:jc w:val="center"/>
            </w:pPr>
            <w:r>
              <w:rPr>
                <w:rFonts w:ascii="Times New Roman" w:hAnsi="Times New Roman"/>
                <w:sz w:val="17"/>
              </w:rPr>
              <w:t>1,510</w:t>
            </w:r>
          </w:p>
        </w:tc>
        <w:tc>
          <w:tcPr>
            <w:tcW w:type="dxa" w:w="1584"/>
            <w:tcMar>
              <w:top w:w="40" w:type="dxa"/>
              <w:bottom w:w="40" w:type="dxa"/>
              <w:left w:w="50" w:type="dxa"/>
              <w:right w:w="50" w:type="dxa"/>
            </w:tcMar>
          </w:tcPr>
          <w:p>
            <w:pPr>
              <w:jc w:val="center"/>
            </w:pPr>
            <w:r>
              <w:rPr>
                <w:rFonts w:ascii="Times New Roman" w:hAnsi="Times New Roman"/>
                <w:sz w:val="17"/>
              </w:rPr>
              <w:t>$19,650</w:t>
            </w:r>
          </w:p>
        </w:tc>
        <w:tc>
          <w:tcPr>
            <w:tcW w:type="dxa" w:w="1584"/>
            <w:tcMar>
              <w:top w:w="40" w:type="dxa"/>
              <w:bottom w:w="40" w:type="dxa"/>
              <w:left w:w="50" w:type="dxa"/>
              <w:right w:w="50" w:type="dxa"/>
            </w:tcMar>
          </w:tcPr>
          <w:p>
            <w:pPr>
              <w:jc w:val="center"/>
            </w:pPr>
            <w:r>
              <w:rPr>
                <w:rFonts w:ascii="Times New Roman" w:hAnsi="Times New Roman"/>
                <w:sz w:val="17"/>
              </w:rPr>
              <w:t>$72,100</w:t>
            </w:r>
          </w:p>
        </w:tc>
        <w:tc>
          <w:tcPr>
            <w:tcW w:type="dxa" w:w="1584"/>
            <w:tcMar>
              <w:top w:w="40" w:type="dxa"/>
              <w:bottom w:w="40" w:type="dxa"/>
              <w:left w:w="50" w:type="dxa"/>
              <w:right w:w="50" w:type="dxa"/>
            </w:tcMar>
          </w:tcPr>
          <w:p>
            <w:pPr>
              <w:jc w:val="center"/>
            </w:pPr>
            <w:r>
              <w:rPr>
                <w:rFonts w:ascii="Times New Roman" w:hAnsi="Times New Roman"/>
                <w:sz w:val="17"/>
              </w:rPr>
              <w:t>$52,450</w:t>
            </w:r>
          </w:p>
        </w:tc>
        <w:tc>
          <w:tcPr>
            <w:tcW w:type="dxa" w:w="1440"/>
            <w:tcMar>
              <w:top w:w="40" w:type="dxa"/>
              <w:bottom w:w="40" w:type="dxa"/>
              <w:left w:w="50" w:type="dxa"/>
              <w:right w:w="50" w:type="dxa"/>
            </w:tcMar>
          </w:tcPr>
          <w:p>
            <w:pPr>
              <w:jc w:val="center"/>
            </w:pPr>
            <w:r>
              <w:rPr>
                <w:rFonts w:ascii="Times New Roman" w:hAnsi="Times New Roman"/>
                <w:sz w:val="17"/>
              </w:rPr>
              <w:t>266.9%</w:t>
            </w:r>
          </w:p>
        </w:tc>
      </w:tr>
      <w:tr>
        <w:tc>
          <w:tcPr>
            <w:tcW w:type="dxa" w:w="1584"/>
            <w:tcMar>
              <w:top w:w="40" w:type="dxa"/>
              <w:bottom w:w="40" w:type="dxa"/>
              <w:left w:w="50" w:type="dxa"/>
              <w:right w:w="50" w:type="dxa"/>
            </w:tcMar>
          </w:tcPr>
          <w:p>
            <w:pPr>
              <w:jc w:val="left"/>
            </w:pPr>
            <w:r>
              <w:rPr>
                <w:rFonts w:ascii="Times New Roman" w:hAnsi="Times New Roman"/>
                <w:b/>
                <w:sz w:val="17"/>
              </w:rPr>
              <w:t>$25,000</w:t>
            </w:r>
          </w:p>
        </w:tc>
        <w:tc>
          <w:tcPr>
            <w:tcW w:type="dxa" w:w="1584"/>
            <w:tcMar>
              <w:top w:w="40" w:type="dxa"/>
              <w:bottom w:w="40" w:type="dxa"/>
              <w:left w:w="50" w:type="dxa"/>
              <w:right w:w="50" w:type="dxa"/>
            </w:tcMar>
          </w:tcPr>
          <w:p>
            <w:pPr>
              <w:jc w:val="center"/>
            </w:pPr>
            <w:r>
              <w:rPr>
                <w:rFonts w:ascii="Times New Roman" w:hAnsi="Times New Roman"/>
                <w:sz w:val="17"/>
              </w:rPr>
              <w:t>1,620</w:t>
            </w:r>
          </w:p>
        </w:tc>
        <w:tc>
          <w:tcPr>
            <w:tcW w:type="dxa" w:w="1584"/>
            <w:tcMar>
              <w:top w:w="40" w:type="dxa"/>
              <w:bottom w:w="40" w:type="dxa"/>
              <w:left w:w="50" w:type="dxa"/>
              <w:right w:w="50" w:type="dxa"/>
            </w:tcMar>
          </w:tcPr>
          <w:p>
            <w:pPr>
              <w:jc w:val="center"/>
            </w:pPr>
            <w:r>
              <w:rPr>
                <w:rFonts w:ascii="Times New Roman" w:hAnsi="Times New Roman"/>
                <w:sz w:val="17"/>
              </w:rPr>
              <w:t>$22,400</w:t>
            </w:r>
          </w:p>
        </w:tc>
        <w:tc>
          <w:tcPr>
            <w:tcW w:type="dxa" w:w="1584"/>
            <w:tcMar>
              <w:top w:w="40" w:type="dxa"/>
              <w:bottom w:w="40" w:type="dxa"/>
              <w:left w:w="50" w:type="dxa"/>
              <w:right w:w="50" w:type="dxa"/>
            </w:tcMar>
          </w:tcPr>
          <w:p>
            <w:pPr>
              <w:jc w:val="center"/>
            </w:pPr>
            <w:r>
              <w:rPr>
                <w:rFonts w:ascii="Times New Roman" w:hAnsi="Times New Roman"/>
                <w:sz w:val="17"/>
              </w:rPr>
              <w:t>$75,400</w:t>
            </w:r>
          </w:p>
        </w:tc>
        <w:tc>
          <w:tcPr>
            <w:tcW w:type="dxa" w:w="1584"/>
            <w:tcMar>
              <w:top w:w="40" w:type="dxa"/>
              <w:bottom w:w="40" w:type="dxa"/>
              <w:left w:w="50" w:type="dxa"/>
              <w:right w:w="50" w:type="dxa"/>
            </w:tcMar>
          </w:tcPr>
          <w:p>
            <w:pPr>
              <w:jc w:val="center"/>
            </w:pPr>
            <w:r>
              <w:rPr>
                <w:rFonts w:ascii="Times New Roman" w:hAnsi="Times New Roman"/>
                <w:sz w:val="17"/>
              </w:rPr>
              <w:t>$53,000</w:t>
            </w:r>
          </w:p>
        </w:tc>
        <w:tc>
          <w:tcPr>
            <w:tcW w:type="dxa" w:w="1440"/>
            <w:tcMar>
              <w:top w:w="40" w:type="dxa"/>
              <w:bottom w:w="40" w:type="dxa"/>
              <w:left w:w="50" w:type="dxa"/>
              <w:right w:w="50" w:type="dxa"/>
            </w:tcMar>
          </w:tcPr>
          <w:p>
            <w:pPr>
              <w:jc w:val="center"/>
            </w:pPr>
            <w:r>
              <w:rPr>
                <w:rFonts w:ascii="Times New Roman" w:hAnsi="Times New Roman"/>
                <w:sz w:val="17"/>
              </w:rPr>
              <w:t>236.6%</w:t>
            </w:r>
          </w:p>
        </w:tc>
      </w:tr>
    </w:tbl>
    <w:p>
      <w:pPr>
        <w:spacing w:before="80" w:after="200" w:line="276" w:lineRule="auto"/>
        <w:jc w:val="center"/>
      </w:pPr>
      <w:r>
        <w:rPr>
          <w:rFonts w:ascii="Times New Roman" w:hAnsi="Times New Roman"/>
          <w:b/>
          <w:i/>
          <w:sz w:val="18"/>
        </w:rPr>
        <w:t>Table 5.5: Portfolio Retention Campaign Budget Sweep and ERV Optimization</w:t>
      </w:r>
    </w:p>
    <w:p>
      <w:pPr>
        <w:spacing w:before="0" w:after="80" w:line="276" w:lineRule="auto"/>
        <w:jc w:val="both"/>
      </w:pPr>
      <w:r>
        <w:rPr>
          <w:rFonts w:ascii="Times New Roman" w:hAnsi="Times New Roman"/>
          <w:color w:val="1E232D"/>
          <w:sz w:val="22"/>
        </w:rPr>
        <w:t>Figure 5.7 visualizes the cumulative portfolio Expected Retention Value curve and marginal ROI frontier across budget levels:</w:t>
      </w:r>
    </w:p>
    <w:p>
      <w:pPr>
        <w:spacing w:before="120" w:after="60"/>
        <w:jc w:val="center"/>
      </w:pPr>
      <w:r>
        <w:drawing>
          <wp:inline xmlns:a="http://schemas.openxmlformats.org/drawingml/2006/main" xmlns:pic="http://schemas.openxmlformats.org/drawingml/2006/picture">
            <wp:extent cx="4937760" cy="2441140"/>
            <wp:docPr id="13" name="Picture 13"/>
            <wp:cNvGraphicFramePr>
              <a:graphicFrameLocks noChangeAspect="1"/>
            </wp:cNvGraphicFramePr>
            <a:graphic>
              <a:graphicData uri="http://schemas.openxmlformats.org/drawingml/2006/picture">
                <pic:pic>
                  <pic:nvPicPr>
                    <pic:cNvPr id="0" name="erv_optimization_curve.png"/>
                    <pic:cNvPicPr/>
                  </pic:nvPicPr>
                  <pic:blipFill>
                    <a:blip r:embed="rId23"/>
                    <a:stretch>
                      <a:fillRect/>
                    </a:stretch>
                  </pic:blipFill>
                  <pic:spPr>
                    <a:xfrm>
                      <a:off x="0" y="0"/>
                      <a:ext cx="4937760" cy="2441140"/>
                    </a:xfrm>
                    <a:prstGeom prst="rect"/>
                  </pic:spPr>
                </pic:pic>
              </a:graphicData>
            </a:graphic>
          </wp:inline>
        </w:drawing>
      </w:r>
    </w:p>
    <w:p>
      <w:pPr>
        <w:spacing w:before="40" w:after="160"/>
        <w:jc w:val="center"/>
      </w:pPr>
      <w:r>
        <w:rPr>
          <w:rFonts w:ascii="Times New Roman" w:hAnsi="Times New Roman"/>
          <w:b/>
          <w:i/>
          <w:color w:val="283246"/>
          <w:sz w:val="19"/>
        </w:rPr>
        <w:t>Figure 5.7: Portfolio Expected Retention Value (ERV) and Net ROI Frontier Under Budget Constraints</w:t>
      </w:r>
    </w:p>
    <w:p>
      <w:pPr>
        <w:spacing w:before="0" w:after="160" w:line="276" w:lineRule="auto"/>
        <w:jc w:val="both"/>
      </w:pPr>
      <w:r>
        <w:rPr>
          <w:rFonts w:ascii="Times New Roman" w:hAnsi="Times New Roman"/>
          <w:color w:val="1E232D"/>
          <w:sz w:val="22"/>
        </w:rPr>
        <w:t>As revealed in Table 5.5 and Figure 5.7, the portfolio ERV curve demonstrates classic diminishing marginal returns. Below $10,000, every marketing dollar generates nearly 4x in net retained revenue. The optimal commercial inflection point occurs at the $15,000 budget tier, allocating 1,248 accounts (66.6% candidate coverage) to capture $48,920 in Net ERV at an outstanding 329.2% ROI. Beyond $20,000, marginal gains flatten as the remaining unassigned candidates consist of low-LTV or non-responsive accounts where the cost of intervention approaches the expected salvage value.</w:t>
      </w:r>
    </w:p>
    <w:p>
      <w:pPr>
        <w:spacing w:before="160" w:after="80" w:line="276" w:lineRule="auto"/>
        <w:jc w:val="left"/>
      </w:pPr>
      <w:r>
        <w:rPr>
          <w:rFonts w:ascii="Times New Roman" w:hAnsi="Times New Roman"/>
          <w:b/>
          <w:color w:val="142D55"/>
          <w:sz w:val="26"/>
        </w:rPr>
        <w:t>5.9 MODEL EXPLAINABILITY &amp; HAZARD ATTRIBUTION</w:t>
      </w:r>
    </w:p>
    <w:p>
      <w:pPr>
        <w:spacing w:before="0" w:after="80" w:line="276" w:lineRule="auto"/>
        <w:jc w:val="both"/>
      </w:pPr>
      <w:r>
        <w:rPr>
          <w:rFonts w:ascii="Times New Roman" w:hAnsi="Times New Roman"/>
          <w:color w:val="1E232D"/>
          <w:sz w:val="22"/>
        </w:rPr>
        <w:t>Enterprise adoption of machine learning requires complete interpretability and regulatory explainability. In RetainIQ, feature effects are quantified through two complementary mechanisms: Cox Proportional Hazards regression hazard ratios (HR = exp(beta)) and global permutation feature importance. Table 5.6 details the key hazard ratios from outputs/reports/explainability_report.json:</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592"/>
            <w:shd w:fill="152035"/>
            <w:tcMar>
              <w:top w:w="50" w:type="dxa"/>
              <w:bottom w:w="50" w:type="dxa"/>
              <w:left w:w="50" w:type="dxa"/>
              <w:right w:w="50" w:type="dxa"/>
            </w:tcMar>
          </w:tcPr>
          <w:p>
            <w:pPr>
              <w:jc w:val="left"/>
            </w:pPr>
            <w:r>
              <w:rPr>
                <w:rFonts w:ascii="Times New Roman" w:hAnsi="Times New Roman"/>
                <w:b/>
                <w:color w:val="FFFFFF"/>
                <w:sz w:val="17"/>
              </w:rPr>
              <w:t>FEATURE ATTRIBUTE</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HAZARD RATIO</w:t>
            </w:r>
          </w:p>
        </w:tc>
        <w:tc>
          <w:tcPr>
            <w:tcW w:type="dxa" w:w="1728"/>
            <w:shd w:fill="152035"/>
            <w:tcMar>
              <w:top w:w="50" w:type="dxa"/>
              <w:bottom w:w="50" w:type="dxa"/>
              <w:left w:w="50" w:type="dxa"/>
              <w:right w:w="50" w:type="dxa"/>
            </w:tcMar>
          </w:tcPr>
          <w:p>
            <w:pPr>
              <w:jc w:val="center"/>
            </w:pPr>
            <w:r>
              <w:rPr>
                <w:rFonts w:ascii="Times New Roman" w:hAnsi="Times New Roman"/>
                <w:b/>
                <w:color w:val="FFFFFF"/>
                <w:sz w:val="17"/>
              </w:rPr>
              <w:t>95% CONF. INT.</w:t>
            </w:r>
          </w:p>
        </w:tc>
        <w:tc>
          <w:tcPr>
            <w:tcW w:type="dxa" w:w="1440"/>
            <w:shd w:fill="152035"/>
            <w:tcMar>
              <w:top w:w="50" w:type="dxa"/>
              <w:bottom w:w="50" w:type="dxa"/>
              <w:left w:w="50" w:type="dxa"/>
              <w:right w:w="50" w:type="dxa"/>
            </w:tcMar>
          </w:tcPr>
          <w:p>
            <w:pPr>
              <w:jc w:val="center"/>
            </w:pPr>
            <w:r>
              <w:rPr>
                <w:rFonts w:ascii="Times New Roman" w:hAnsi="Times New Roman"/>
                <w:b/>
                <w:color w:val="FFFFFF"/>
                <w:sz w:val="17"/>
              </w:rPr>
              <w:t>P-VALUE</w:t>
            </w:r>
          </w:p>
        </w:tc>
        <w:tc>
          <w:tcPr>
            <w:tcW w:type="dxa" w:w="2016"/>
            <w:shd w:fill="152035"/>
            <w:tcMar>
              <w:top w:w="50" w:type="dxa"/>
              <w:bottom w:w="50" w:type="dxa"/>
              <w:left w:w="50" w:type="dxa"/>
              <w:right w:w="50" w:type="dxa"/>
            </w:tcMar>
          </w:tcPr>
          <w:p>
            <w:pPr>
              <w:jc w:val="left"/>
            </w:pPr>
            <w:r>
              <w:rPr>
                <w:rFonts w:ascii="Times New Roman" w:hAnsi="Times New Roman"/>
                <w:b/>
                <w:color w:val="FFFFFF"/>
                <w:sz w:val="17"/>
              </w:rPr>
              <w:t>IMPACT ON CHURN</w:t>
            </w:r>
          </w:p>
        </w:tc>
      </w:tr>
      <w:tr>
        <w:tc>
          <w:tcPr>
            <w:tcW w:type="dxa" w:w="2592"/>
            <w:tcMar>
              <w:top w:w="40" w:type="dxa"/>
              <w:bottom w:w="40" w:type="dxa"/>
              <w:left w:w="50" w:type="dxa"/>
              <w:right w:w="50" w:type="dxa"/>
            </w:tcMar>
          </w:tcPr>
          <w:p>
            <w:pPr>
              <w:jc w:val="left"/>
            </w:pPr>
            <w:r>
              <w:rPr>
                <w:rFonts w:ascii="Times New Roman" w:hAnsi="Times New Roman"/>
                <w:b/>
                <w:sz w:val="17"/>
              </w:rPr>
              <w:t>is_month_to_month</w:t>
            </w:r>
          </w:p>
        </w:tc>
        <w:tc>
          <w:tcPr>
            <w:tcW w:type="dxa" w:w="1584"/>
            <w:tcMar>
              <w:top w:w="40" w:type="dxa"/>
              <w:bottom w:w="40" w:type="dxa"/>
              <w:left w:w="50" w:type="dxa"/>
              <w:right w:w="50" w:type="dxa"/>
            </w:tcMar>
          </w:tcPr>
          <w:p>
            <w:pPr>
              <w:jc w:val="center"/>
            </w:pPr>
            <w:r>
              <w:rPr>
                <w:rFonts w:ascii="Times New Roman" w:hAnsi="Times New Roman"/>
                <w:b/>
                <w:color w:val="A01E1E"/>
                <w:sz w:val="17"/>
              </w:rPr>
              <w:t>2.793</w:t>
            </w:r>
          </w:p>
        </w:tc>
        <w:tc>
          <w:tcPr>
            <w:tcW w:type="dxa" w:w="1728"/>
            <w:tcMar>
              <w:top w:w="40" w:type="dxa"/>
              <w:bottom w:w="40" w:type="dxa"/>
              <w:left w:w="50" w:type="dxa"/>
              <w:right w:w="50" w:type="dxa"/>
            </w:tcMar>
          </w:tcPr>
          <w:p>
            <w:pPr>
              <w:jc w:val="center"/>
            </w:pPr>
            <w:r>
              <w:rPr>
                <w:rFonts w:ascii="Times New Roman" w:hAnsi="Times New Roman"/>
                <w:sz w:val="17"/>
              </w:rPr>
              <w:t>[2.344, 3.328]</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+179.3% Hazard (High Risk)</w:t>
            </w:r>
          </w:p>
        </w:tc>
      </w:tr>
      <w:tr>
        <w:tc>
          <w:tcPr>
            <w:tcW w:type="dxa" w:w="2592"/>
            <w:tcMar>
              <w:top w:w="40" w:type="dxa"/>
              <w:bottom w:w="40" w:type="dxa"/>
              <w:left w:w="50" w:type="dxa"/>
              <w:right w:w="50" w:type="dxa"/>
            </w:tcMar>
          </w:tcPr>
          <w:p>
            <w:pPr>
              <w:jc w:val="left"/>
            </w:pPr>
            <w:r>
              <w:rPr>
                <w:rFonts w:ascii="Times New Roman" w:hAnsi="Times New Roman"/>
                <w:b/>
                <w:sz w:val="17"/>
              </w:rPr>
              <w:t>is_fiber_optic</w:t>
            </w:r>
          </w:p>
        </w:tc>
        <w:tc>
          <w:tcPr>
            <w:tcW w:type="dxa" w:w="1584"/>
            <w:tcMar>
              <w:top w:w="40" w:type="dxa"/>
              <w:bottom w:w="40" w:type="dxa"/>
              <w:left w:w="50" w:type="dxa"/>
              <w:right w:w="50" w:type="dxa"/>
            </w:tcMar>
          </w:tcPr>
          <w:p>
            <w:pPr>
              <w:jc w:val="center"/>
            </w:pPr>
            <w:r>
              <w:rPr>
                <w:rFonts w:ascii="Times New Roman" w:hAnsi="Times New Roman"/>
                <w:sz w:val="17"/>
              </w:rPr>
              <w:t>1.291</w:t>
            </w:r>
          </w:p>
        </w:tc>
        <w:tc>
          <w:tcPr>
            <w:tcW w:type="dxa" w:w="1728"/>
            <w:tcMar>
              <w:top w:w="40" w:type="dxa"/>
              <w:bottom w:w="40" w:type="dxa"/>
              <w:left w:w="50" w:type="dxa"/>
              <w:right w:w="50" w:type="dxa"/>
            </w:tcMar>
          </w:tcPr>
          <w:p>
            <w:pPr>
              <w:jc w:val="center"/>
            </w:pPr>
            <w:r>
              <w:rPr>
                <w:rFonts w:ascii="Times New Roman" w:hAnsi="Times New Roman"/>
                <w:sz w:val="17"/>
              </w:rPr>
              <w:t>[1.073, 1.554]</w:t>
            </w:r>
          </w:p>
        </w:tc>
        <w:tc>
          <w:tcPr>
            <w:tcW w:type="dxa" w:w="1440"/>
            <w:tcMar>
              <w:top w:w="40" w:type="dxa"/>
              <w:bottom w:w="40" w:type="dxa"/>
              <w:left w:w="50" w:type="dxa"/>
              <w:right w:w="50" w:type="dxa"/>
            </w:tcMar>
          </w:tcPr>
          <w:p>
            <w:pPr>
              <w:jc w:val="center"/>
            </w:pPr>
            <w:r>
              <w:rPr>
                <w:rFonts w:ascii="Times New Roman" w:hAnsi="Times New Roman"/>
                <w:sz w:val="17"/>
              </w:rPr>
              <w:t>0.0068</w:t>
            </w:r>
          </w:p>
        </w:tc>
        <w:tc>
          <w:tcPr>
            <w:tcW w:type="dxa" w:w="2016"/>
            <w:tcMar>
              <w:top w:w="40" w:type="dxa"/>
              <w:bottom w:w="40" w:type="dxa"/>
              <w:left w:w="50" w:type="dxa"/>
              <w:right w:w="50" w:type="dxa"/>
            </w:tcMar>
          </w:tcPr>
          <w:p>
            <w:pPr>
              <w:jc w:val="left"/>
            </w:pPr>
            <w:r>
              <w:rPr>
                <w:rFonts w:ascii="Times New Roman" w:hAnsi="Times New Roman"/>
                <w:sz w:val="17"/>
              </w:rPr>
              <w:t>+29.1% Hazard (Elevated)</w:t>
            </w:r>
          </w:p>
        </w:tc>
      </w:tr>
      <w:tr>
        <w:tc>
          <w:tcPr>
            <w:tcW w:type="dxa" w:w="2592"/>
            <w:tcMar>
              <w:top w:w="40" w:type="dxa"/>
              <w:bottom w:w="40" w:type="dxa"/>
              <w:left w:w="50" w:type="dxa"/>
              <w:right w:w="50" w:type="dxa"/>
            </w:tcMar>
          </w:tcPr>
          <w:p>
            <w:pPr>
              <w:jc w:val="left"/>
            </w:pPr>
            <w:r>
              <w:rPr>
                <w:rFonts w:ascii="Times New Roman" w:hAnsi="Times New Roman"/>
                <w:b/>
                <w:sz w:val="17"/>
              </w:rPr>
              <w:t>electronic_check</w:t>
            </w:r>
          </w:p>
        </w:tc>
        <w:tc>
          <w:tcPr>
            <w:tcW w:type="dxa" w:w="1584"/>
            <w:tcMar>
              <w:top w:w="40" w:type="dxa"/>
              <w:bottom w:w="40" w:type="dxa"/>
              <w:left w:w="50" w:type="dxa"/>
              <w:right w:w="50" w:type="dxa"/>
            </w:tcMar>
          </w:tcPr>
          <w:p>
            <w:pPr>
              <w:jc w:val="center"/>
            </w:pPr>
            <w:r>
              <w:rPr>
                <w:rFonts w:ascii="Times New Roman" w:hAnsi="Times New Roman"/>
                <w:sz w:val="17"/>
              </w:rPr>
              <w:t>1.185</w:t>
            </w:r>
          </w:p>
        </w:tc>
        <w:tc>
          <w:tcPr>
            <w:tcW w:type="dxa" w:w="1728"/>
            <w:tcMar>
              <w:top w:w="40" w:type="dxa"/>
              <w:bottom w:w="40" w:type="dxa"/>
              <w:left w:w="50" w:type="dxa"/>
              <w:right w:w="50" w:type="dxa"/>
            </w:tcMar>
          </w:tcPr>
          <w:p>
            <w:pPr>
              <w:jc w:val="center"/>
            </w:pPr>
            <w:r>
              <w:rPr>
                <w:rFonts w:ascii="Times New Roman" w:hAnsi="Times New Roman"/>
                <w:sz w:val="17"/>
              </w:rPr>
              <w:t>[1.012, 1.388]</w:t>
            </w:r>
          </w:p>
        </w:tc>
        <w:tc>
          <w:tcPr>
            <w:tcW w:type="dxa" w:w="1440"/>
            <w:tcMar>
              <w:top w:w="40" w:type="dxa"/>
              <w:bottom w:w="40" w:type="dxa"/>
              <w:left w:w="50" w:type="dxa"/>
              <w:right w:w="50" w:type="dxa"/>
            </w:tcMar>
          </w:tcPr>
          <w:p>
            <w:pPr>
              <w:jc w:val="center"/>
            </w:pPr>
            <w:r>
              <w:rPr>
                <w:rFonts w:ascii="Times New Roman" w:hAnsi="Times New Roman"/>
                <w:sz w:val="17"/>
              </w:rPr>
              <w:t>0.0345</w:t>
            </w:r>
          </w:p>
        </w:tc>
        <w:tc>
          <w:tcPr>
            <w:tcW w:type="dxa" w:w="2016"/>
            <w:tcMar>
              <w:top w:w="40" w:type="dxa"/>
              <w:bottom w:w="40" w:type="dxa"/>
              <w:left w:w="50" w:type="dxa"/>
              <w:right w:w="50" w:type="dxa"/>
            </w:tcMar>
          </w:tcPr>
          <w:p>
            <w:pPr>
              <w:jc w:val="left"/>
            </w:pPr>
            <w:r>
              <w:rPr>
                <w:rFonts w:ascii="Times New Roman" w:hAnsi="Times New Roman"/>
                <w:sz w:val="17"/>
              </w:rPr>
              <w:t>+18.5% Hazard (Payment friction)</w:t>
            </w:r>
          </w:p>
        </w:tc>
      </w:tr>
      <w:tr>
        <w:tc>
          <w:tcPr>
            <w:tcW w:type="dxa" w:w="2592"/>
            <w:tcMar>
              <w:top w:w="40" w:type="dxa"/>
              <w:bottom w:w="40" w:type="dxa"/>
              <w:left w:w="50" w:type="dxa"/>
              <w:right w:w="50" w:type="dxa"/>
            </w:tcMar>
          </w:tcPr>
          <w:p>
            <w:pPr>
              <w:jc w:val="left"/>
            </w:pPr>
            <w:r>
              <w:rPr>
                <w:rFonts w:ascii="Times New Roman" w:hAnsi="Times New Roman"/>
                <w:b/>
                <w:sz w:val="17"/>
              </w:rPr>
              <w:t>SeniorCitizen</w:t>
            </w:r>
          </w:p>
        </w:tc>
        <w:tc>
          <w:tcPr>
            <w:tcW w:type="dxa" w:w="1584"/>
            <w:tcMar>
              <w:top w:w="40" w:type="dxa"/>
              <w:bottom w:w="40" w:type="dxa"/>
              <w:left w:w="50" w:type="dxa"/>
              <w:right w:w="50" w:type="dxa"/>
            </w:tcMar>
          </w:tcPr>
          <w:p>
            <w:pPr>
              <w:jc w:val="center"/>
            </w:pPr>
            <w:r>
              <w:rPr>
                <w:rFonts w:ascii="Times New Roman" w:hAnsi="Times New Roman"/>
                <w:sz w:val="17"/>
              </w:rPr>
              <w:t>1.124</w:t>
            </w:r>
          </w:p>
        </w:tc>
        <w:tc>
          <w:tcPr>
            <w:tcW w:type="dxa" w:w="1728"/>
            <w:tcMar>
              <w:top w:w="40" w:type="dxa"/>
              <w:bottom w:w="40" w:type="dxa"/>
              <w:left w:w="50" w:type="dxa"/>
              <w:right w:w="50" w:type="dxa"/>
            </w:tcMar>
          </w:tcPr>
          <w:p>
            <w:pPr>
              <w:jc w:val="center"/>
            </w:pPr>
            <w:r>
              <w:rPr>
                <w:rFonts w:ascii="Times New Roman" w:hAnsi="Times New Roman"/>
                <w:sz w:val="17"/>
              </w:rPr>
              <w:t>[0.985, 1.282]</w:t>
            </w:r>
          </w:p>
        </w:tc>
        <w:tc>
          <w:tcPr>
            <w:tcW w:type="dxa" w:w="1440"/>
            <w:tcMar>
              <w:top w:w="40" w:type="dxa"/>
              <w:bottom w:w="40" w:type="dxa"/>
              <w:left w:w="50" w:type="dxa"/>
              <w:right w:w="50" w:type="dxa"/>
            </w:tcMar>
          </w:tcPr>
          <w:p>
            <w:pPr>
              <w:jc w:val="center"/>
            </w:pPr>
            <w:r>
              <w:rPr>
                <w:rFonts w:ascii="Times New Roman" w:hAnsi="Times New Roman"/>
                <w:sz w:val="17"/>
              </w:rPr>
              <w:t>0.0821</w:t>
            </w:r>
          </w:p>
        </w:tc>
        <w:tc>
          <w:tcPr>
            <w:tcW w:type="dxa" w:w="2016"/>
            <w:tcMar>
              <w:top w:w="40" w:type="dxa"/>
              <w:bottom w:w="40" w:type="dxa"/>
              <w:left w:w="50" w:type="dxa"/>
              <w:right w:w="50" w:type="dxa"/>
            </w:tcMar>
          </w:tcPr>
          <w:p>
            <w:pPr>
              <w:jc w:val="left"/>
            </w:pPr>
            <w:r>
              <w:rPr>
                <w:rFonts w:ascii="Times New Roman" w:hAnsi="Times New Roman"/>
                <w:sz w:val="17"/>
              </w:rPr>
              <w:t>+12.4% Hazard (Moderate)</w:t>
            </w:r>
          </w:p>
        </w:tc>
      </w:tr>
      <w:tr>
        <w:tc>
          <w:tcPr>
            <w:tcW w:type="dxa" w:w="2592"/>
            <w:tcMar>
              <w:top w:w="40" w:type="dxa"/>
              <w:bottom w:w="40" w:type="dxa"/>
              <w:left w:w="50" w:type="dxa"/>
              <w:right w:w="50" w:type="dxa"/>
            </w:tcMar>
          </w:tcPr>
          <w:p>
            <w:pPr>
              <w:jc w:val="left"/>
            </w:pPr>
            <w:r>
              <w:rPr>
                <w:rFonts w:ascii="Times New Roman" w:hAnsi="Times New Roman"/>
                <w:b/>
                <w:sz w:val="17"/>
              </w:rPr>
              <w:t>has_tech_support</w:t>
            </w:r>
          </w:p>
        </w:tc>
        <w:tc>
          <w:tcPr>
            <w:tcW w:type="dxa" w:w="1584"/>
            <w:tcMar>
              <w:top w:w="40" w:type="dxa"/>
              <w:bottom w:w="40" w:type="dxa"/>
              <w:left w:w="50" w:type="dxa"/>
              <w:right w:w="50" w:type="dxa"/>
            </w:tcMar>
          </w:tcPr>
          <w:p>
            <w:pPr>
              <w:jc w:val="center"/>
            </w:pPr>
            <w:r>
              <w:rPr>
                <w:rFonts w:ascii="Times New Roman" w:hAnsi="Times New Roman"/>
                <w:sz w:val="17"/>
              </w:rPr>
              <w:t>0.782</w:t>
            </w:r>
          </w:p>
        </w:tc>
        <w:tc>
          <w:tcPr>
            <w:tcW w:type="dxa" w:w="1728"/>
            <w:tcMar>
              <w:top w:w="40" w:type="dxa"/>
              <w:bottom w:w="40" w:type="dxa"/>
              <w:left w:w="50" w:type="dxa"/>
              <w:right w:w="50" w:type="dxa"/>
            </w:tcMar>
          </w:tcPr>
          <w:p>
            <w:pPr>
              <w:jc w:val="center"/>
            </w:pPr>
            <w:r>
              <w:rPr>
                <w:rFonts w:ascii="Times New Roman" w:hAnsi="Times New Roman"/>
                <w:sz w:val="17"/>
              </w:rPr>
              <w:t>[0.684, 0.894]</w:t>
            </w:r>
          </w:p>
        </w:tc>
        <w:tc>
          <w:tcPr>
            <w:tcW w:type="dxa" w:w="1440"/>
            <w:tcMar>
              <w:top w:w="40" w:type="dxa"/>
              <w:bottom w:w="40" w:type="dxa"/>
              <w:left w:w="50" w:type="dxa"/>
              <w:right w:w="50" w:type="dxa"/>
            </w:tcMar>
          </w:tcPr>
          <w:p>
            <w:pPr>
              <w:jc w:val="center"/>
            </w:pPr>
            <w:r>
              <w:rPr>
                <w:rFonts w:ascii="Times New Roman" w:hAnsi="Times New Roman"/>
                <w:sz w:val="17"/>
              </w:rPr>
              <w:t>0.0004</w:t>
            </w:r>
          </w:p>
        </w:tc>
        <w:tc>
          <w:tcPr>
            <w:tcW w:type="dxa" w:w="2016"/>
            <w:tcMar>
              <w:top w:w="40" w:type="dxa"/>
              <w:bottom w:w="40" w:type="dxa"/>
              <w:left w:w="50" w:type="dxa"/>
              <w:right w:w="50" w:type="dxa"/>
            </w:tcMar>
          </w:tcPr>
          <w:p>
            <w:pPr>
              <w:jc w:val="left"/>
            </w:pPr>
            <w:r>
              <w:rPr>
                <w:rFonts w:ascii="Times New Roman" w:hAnsi="Times New Roman"/>
                <w:sz w:val="17"/>
              </w:rPr>
              <w:t>-21.8% Hazard (Protective)</w:t>
            </w:r>
          </w:p>
        </w:tc>
      </w:tr>
      <w:tr>
        <w:tc>
          <w:tcPr>
            <w:tcW w:type="dxa" w:w="2592"/>
            <w:tcMar>
              <w:top w:w="40" w:type="dxa"/>
              <w:bottom w:w="40" w:type="dxa"/>
              <w:left w:w="50" w:type="dxa"/>
              <w:right w:w="50" w:type="dxa"/>
            </w:tcMar>
          </w:tcPr>
          <w:p>
            <w:pPr>
              <w:jc w:val="left"/>
            </w:pPr>
            <w:r>
              <w:rPr>
                <w:rFonts w:ascii="Times New Roman" w:hAnsi="Times New Roman"/>
                <w:b/>
                <w:sz w:val="17"/>
              </w:rPr>
              <w:t>has_online_security</w:t>
            </w:r>
          </w:p>
        </w:tc>
        <w:tc>
          <w:tcPr>
            <w:tcW w:type="dxa" w:w="1584"/>
            <w:tcMar>
              <w:top w:w="40" w:type="dxa"/>
              <w:bottom w:w="40" w:type="dxa"/>
              <w:left w:w="50" w:type="dxa"/>
              <w:right w:w="50" w:type="dxa"/>
            </w:tcMar>
          </w:tcPr>
          <w:p>
            <w:pPr>
              <w:jc w:val="center"/>
            </w:pPr>
            <w:r>
              <w:rPr>
                <w:rFonts w:ascii="Times New Roman" w:hAnsi="Times New Roman"/>
                <w:sz w:val="17"/>
              </w:rPr>
              <w:t>0.741</w:t>
            </w:r>
          </w:p>
        </w:tc>
        <w:tc>
          <w:tcPr>
            <w:tcW w:type="dxa" w:w="1728"/>
            <w:tcMar>
              <w:top w:w="40" w:type="dxa"/>
              <w:bottom w:w="40" w:type="dxa"/>
              <w:left w:w="50" w:type="dxa"/>
              <w:right w:w="50" w:type="dxa"/>
            </w:tcMar>
          </w:tcPr>
          <w:p>
            <w:pPr>
              <w:jc w:val="center"/>
            </w:pPr>
            <w:r>
              <w:rPr>
                <w:rFonts w:ascii="Times New Roman" w:hAnsi="Times New Roman"/>
                <w:sz w:val="17"/>
              </w:rPr>
              <w:t>[0.648, 0.847]</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-25.9% Hazard (Protective)</w:t>
            </w:r>
          </w:p>
        </w:tc>
      </w:tr>
      <w:tr>
        <w:tc>
          <w:tcPr>
            <w:tcW w:type="dxa" w:w="2592"/>
            <w:tcMar>
              <w:top w:w="40" w:type="dxa"/>
              <w:bottom w:w="40" w:type="dxa"/>
              <w:left w:w="50" w:type="dxa"/>
              <w:right w:w="50" w:type="dxa"/>
            </w:tcMar>
          </w:tcPr>
          <w:p>
            <w:pPr>
              <w:jc w:val="left"/>
            </w:pPr>
            <w:r>
              <w:rPr>
                <w:rFonts w:ascii="Times New Roman" w:hAnsi="Times New Roman"/>
                <w:b/>
                <w:sz w:val="17"/>
              </w:rPr>
              <w:t>is_two_year_contract</w:t>
            </w:r>
          </w:p>
        </w:tc>
        <w:tc>
          <w:tcPr>
            <w:tcW w:type="dxa" w:w="1584"/>
            <w:tcMar>
              <w:top w:w="40" w:type="dxa"/>
              <w:bottom w:w="40" w:type="dxa"/>
              <w:left w:w="50" w:type="dxa"/>
              <w:right w:w="50" w:type="dxa"/>
            </w:tcMar>
          </w:tcPr>
          <w:p>
            <w:pPr>
              <w:jc w:val="center"/>
            </w:pPr>
            <w:r>
              <w:rPr>
                <w:rFonts w:ascii="Times New Roman" w:hAnsi="Times New Roman"/>
                <w:b/>
                <w:color w:val="1E6E32"/>
                <w:sz w:val="17"/>
              </w:rPr>
              <w:t>0.284</w:t>
            </w:r>
          </w:p>
        </w:tc>
        <w:tc>
          <w:tcPr>
            <w:tcW w:type="dxa" w:w="1728"/>
            <w:tcMar>
              <w:top w:w="40" w:type="dxa"/>
              <w:bottom w:w="40" w:type="dxa"/>
              <w:left w:w="50" w:type="dxa"/>
              <w:right w:w="50" w:type="dxa"/>
            </w:tcMar>
          </w:tcPr>
          <w:p>
            <w:pPr>
              <w:jc w:val="center"/>
            </w:pPr>
            <w:r>
              <w:rPr>
                <w:rFonts w:ascii="Times New Roman" w:hAnsi="Times New Roman"/>
                <w:sz w:val="17"/>
              </w:rPr>
              <w:t>[0.218, 0.370]</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-71.6% Hazard (Highly Protective)</w:t>
            </w:r>
          </w:p>
        </w:tc>
      </w:tr>
    </w:tbl>
    <w:p>
      <w:pPr>
        <w:spacing w:before="80" w:after="200" w:line="276" w:lineRule="auto"/>
        <w:jc w:val="center"/>
      </w:pPr>
      <w:r>
        <w:rPr>
          <w:rFonts w:ascii="Times New Roman" w:hAnsi="Times New Roman"/>
          <w:b/>
          <w:i/>
          <w:sz w:val="18"/>
        </w:rPr>
        <w:t>Table 5.6: Cox Proportional Hazards Multivariate Regression Summary</w:t>
      </w:r>
    </w:p>
    <w:p>
      <w:pPr>
        <w:spacing w:before="0" w:after="80" w:line="276" w:lineRule="auto"/>
        <w:jc w:val="both"/>
      </w:pPr>
      <w:r>
        <w:rPr>
          <w:rFonts w:ascii="Times New Roman" w:hAnsi="Times New Roman"/>
          <w:color w:val="1E232D"/>
          <w:sz w:val="22"/>
        </w:rPr>
        <w:t>Figure 5.8 presents the Cox hazard ratios forest plot, while Figure 5.9 displays global permutation feature importance:</w:t>
      </w:r>
    </w:p>
    <w:p>
      <w:pPr>
        <w:spacing w:before="120" w:after="60"/>
        <w:jc w:val="center"/>
      </w:pPr>
      <w:r>
        <w:drawing>
          <wp:inline xmlns:a="http://schemas.openxmlformats.org/drawingml/2006/main" xmlns:pic="http://schemas.openxmlformats.org/drawingml/2006/picture">
            <wp:extent cx="4754880" cy="3698240"/>
            <wp:docPr id="14" name="Picture 14"/>
            <wp:cNvGraphicFramePr>
              <a:graphicFrameLocks noChangeAspect="1"/>
            </wp:cNvGraphicFramePr>
            <a:graphic>
              <a:graphicData uri="http://schemas.openxmlformats.org/drawingml/2006/picture">
                <pic:pic>
                  <pic:nvPicPr>
                    <pic:cNvPr id="0" name="cox_hazard_ratios.png"/>
                    <pic:cNvPicPr/>
                  </pic:nvPicPr>
                  <pic:blipFill>
                    <a:blip r:embed="rId24"/>
                    <a:stretch>
                      <a:fillRect/>
                    </a:stretch>
                  </pic:blipFill>
                  <pic:spPr>
                    <a:xfrm>
                      <a:off x="0" y="0"/>
                      <a:ext cx="4754880" cy="3698240"/>
                    </a:xfrm>
                    <a:prstGeom prst="rect"/>
                  </pic:spPr>
                </pic:pic>
              </a:graphicData>
            </a:graphic>
          </wp:inline>
        </w:drawing>
      </w:r>
    </w:p>
    <w:p>
      <w:pPr>
        <w:spacing w:before="40" w:after="160"/>
        <w:jc w:val="center"/>
      </w:pPr>
      <w:r>
        <w:rPr>
          <w:rFonts w:ascii="Times New Roman" w:hAnsi="Times New Roman"/>
          <w:b/>
          <w:i/>
          <w:color w:val="283246"/>
          <w:sz w:val="19"/>
        </w:rPr>
        <w:t>Figure 5.8: Cox Proportional Hazards Forest Plot with 95% Hazard Ratio Confidence Intervals</w:t>
      </w:r>
    </w:p>
    <w:p>
      <w:pPr>
        <w:spacing w:before="120" w:after="60"/>
        <w:jc w:val="center"/>
      </w:pPr>
      <w:r>
        <w:drawing>
          <wp:inline xmlns:a="http://schemas.openxmlformats.org/drawingml/2006/main" xmlns:pic="http://schemas.openxmlformats.org/drawingml/2006/picture">
            <wp:extent cx="4754880" cy="3169920"/>
            <wp:docPr id="15" name="Picture 15"/>
            <wp:cNvGraphicFramePr>
              <a:graphicFrameLocks noChangeAspect="1"/>
            </wp:cNvGraphicFramePr>
            <a:graphic>
              <a:graphicData uri="http://schemas.openxmlformats.org/drawingml/2006/picture">
                <pic:pic>
                  <pic:nvPicPr>
                    <pic:cNvPr id="0" name="feature_importance.png"/>
                    <pic:cNvPicPr/>
                  </pic:nvPicPr>
                  <pic:blipFill>
                    <a:blip r:embed="rId25"/>
                    <a:stretch>
                      <a:fillRect/>
                    </a:stretch>
                  </pic:blipFill>
                  <pic:spPr>
                    <a:xfrm>
                      <a:off x="0" y="0"/>
                      <a:ext cx="4754880" cy="3169920"/>
                    </a:xfrm>
                    <a:prstGeom prst="rect"/>
                  </pic:spPr>
                </pic:pic>
              </a:graphicData>
            </a:graphic>
          </wp:inline>
        </w:drawing>
      </w:r>
    </w:p>
    <w:p>
      <w:pPr>
        <w:spacing w:before="40" w:after="160"/>
        <w:jc w:val="center"/>
      </w:pPr>
      <w:r>
        <w:rPr>
          <w:rFonts w:ascii="Times New Roman" w:hAnsi="Times New Roman"/>
          <w:b/>
          <w:i/>
          <w:color w:val="283246"/>
          <w:sz w:val="19"/>
        </w:rPr>
        <w:t>Figure 5.9: Global Permutation Feature Importance for Survival Hazard Attribution</w:t>
      </w:r>
    </w:p>
    <w:p>
      <w:pPr>
        <w:spacing w:before="0" w:after="160" w:line="276" w:lineRule="auto"/>
        <w:jc w:val="both"/>
      </w:pPr>
      <w:r>
        <w:rPr>
          <w:rFonts w:ascii="Times New Roman" w:hAnsi="Times New Roman"/>
          <w:color w:val="1E232D"/>
          <w:sz w:val="22"/>
        </w:rPr>
        <w:t>As documented in Table 5.6 and Figures 5.8–5.9, month-to-month contract status is the dominant hazard driver (HR = 2.793, p &lt; 0.0001), increasing churn hazard by +179.3%. Conversely, two-year contracts reduce churn hazard by -71.6% (HR = 0.284). The presence of value-added services such as Online Security (HR = 0.741) and Tech Support (HR = 0.782) provides substantial protective buffering, confirming that proactive technical assistance directly enhances subscriber retention.</w:t>
      </w:r>
    </w:p>
    <w:p>
      <w:pPr>
        <w:spacing w:before="160" w:after="80" w:line="276" w:lineRule="auto"/>
        <w:jc w:val="left"/>
      </w:pPr>
      <w:r>
        <w:rPr>
          <w:rFonts w:ascii="Times New Roman" w:hAnsi="Times New Roman"/>
          <w:b/>
          <w:color w:val="142D55"/>
          <w:sz w:val="26"/>
        </w:rPr>
        <w:t>5.10 SYSTEM ROBUSTNESS &amp; ADVERSARIAL STRESS TESTING</w:t>
      </w:r>
    </w:p>
    <w:p>
      <w:pPr>
        <w:spacing w:before="0" w:after="80" w:line="276" w:lineRule="auto"/>
        <w:jc w:val="both"/>
      </w:pPr>
      <w:r>
        <w:rPr>
          <w:rFonts w:ascii="Times New Roman" w:hAnsi="Times New Roman"/>
          <w:color w:val="1E232D"/>
          <w:sz w:val="22"/>
        </w:rPr>
        <w:t>To evaluate real-world production reliability under data degradation, RetainIQ underwent rigorous stress testing evaluating C-index retention under synthetic missingness (0% to 30% randomly masked values) and Gaussian noise perturbation. Figure 5.10 displays the resulting degradation curves from outputs/metrics/robustness_results.json:</w:t>
      </w:r>
    </w:p>
    <w:p>
      <w:pPr>
        <w:spacing w:before="120" w:after="6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robustness_stress_curves.png"/>
                    <pic:cNvPicPr/>
                  </pic:nvPicPr>
                  <pic:blipFill>
                    <a:blip r:embed="rId26"/>
                    <a:stretch>
                      <a:fillRect/>
                    </a:stretch>
                  </pic:blipFill>
                  <pic:spPr>
                    <a:xfrm>
                      <a:off x="0" y="0"/>
                      <a:ext cx="4754880" cy="2674620"/>
                    </a:xfrm>
                    <a:prstGeom prst="rect"/>
                  </pic:spPr>
                </pic:pic>
              </a:graphicData>
            </a:graphic>
          </wp:inline>
        </w:drawing>
      </w:r>
    </w:p>
    <w:p>
      <w:pPr>
        <w:spacing w:before="40" w:after="160"/>
        <w:jc w:val="center"/>
      </w:pPr>
      <w:r>
        <w:rPr>
          <w:rFonts w:ascii="Times New Roman" w:hAnsi="Times New Roman"/>
          <w:b/>
          <w:i/>
          <w:color w:val="283246"/>
          <w:sz w:val="19"/>
        </w:rPr>
        <w:t>Figure 5.10: System Robustness Degradation Curves Under Feature Missingness and Gaussian Noise Perturbation</w:t>
      </w:r>
    </w:p>
    <w:p>
      <w:pPr>
        <w:spacing w:before="0" w:after="160" w:line="276" w:lineRule="auto"/>
        <w:jc w:val="both"/>
      </w:pPr>
      <w:r>
        <w:rPr>
          <w:rFonts w:ascii="Times New Roman" w:hAnsi="Times New Roman"/>
          <w:color w:val="1E232D"/>
          <w:sz w:val="22"/>
        </w:rPr>
        <w:t>Figure 5.10 confirms extraordinary pipeline resilience: at 5% missingness, the C-index drops negligibly from 0.8694 to 0.8680 (99.84% performance retention). Even under severe 20% missingness, the system retains a C-index of 0.8548 (98.32% performance retention), and maintains 0.8384 at 30% missingness. This resilience stems directly from the robust median imputation strategy and L2 ridge regularization embedded within the modeling core.</w:t>
      </w:r>
    </w:p>
    <w:p>
      <w:pPr>
        <w:spacing w:before="160" w:after="80" w:line="276" w:lineRule="auto"/>
        <w:jc w:val="left"/>
      </w:pPr>
      <w:r>
        <w:rPr>
          <w:rFonts w:ascii="Times New Roman" w:hAnsi="Times New Roman"/>
          <w:b/>
          <w:color w:val="142D55"/>
          <w:sz w:val="26"/>
        </w:rPr>
        <w:t>5.11 POPULATION DRIFT &amp; MONITORING METRICS (PSI)</w:t>
      </w:r>
    </w:p>
    <w:p>
      <w:pPr>
        <w:spacing w:before="0" w:after="80" w:line="276" w:lineRule="auto"/>
        <w:jc w:val="both"/>
      </w:pPr>
      <w:r>
        <w:rPr>
          <w:rFonts w:ascii="Times New Roman" w:hAnsi="Times New Roman"/>
          <w:color w:val="1E232D"/>
          <w:sz w:val="22"/>
        </w:rPr>
        <w:t>Continuous monitoring was verified by computing the Population Stability Index (PSI) between the training distribution (5,634 accounts) and test serving distribution (1,409 accounts). Under enterprise risk standards, PSI &lt; 0.10 indicates high stability (no action required), 0.10 &lt;= PSI &lt; 0.25 indicates moderate drift (warning), and PSI &gt;= 0.25 indicates critical drift requiring immediate retraining. Table 5.7 documents the monitoring audit from outputs/metrics/monitoring_metrics.json:</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592"/>
            <w:shd w:fill="152035"/>
            <w:tcMar>
              <w:top w:w="50" w:type="dxa"/>
              <w:bottom w:w="50" w:type="dxa"/>
              <w:left w:w="50" w:type="dxa"/>
              <w:right w:w="50" w:type="dxa"/>
            </w:tcMar>
          </w:tcPr>
          <w:p>
            <w:pPr>
              <w:jc w:val="left"/>
            </w:pPr>
            <w:r>
              <w:rPr>
                <w:rFonts w:ascii="Times New Roman" w:hAnsi="Times New Roman"/>
                <w:b/>
                <w:color w:val="FFFFFF"/>
                <w:sz w:val="17"/>
              </w:rPr>
              <w:t>FEATURE ATTRIBUTE</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TRAIN MEAN</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TEST MEAN</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PSI VALUE</w:t>
            </w:r>
          </w:p>
        </w:tc>
        <w:tc>
          <w:tcPr>
            <w:tcW w:type="dxa" w:w="2016"/>
            <w:shd w:fill="152035"/>
            <w:tcMar>
              <w:top w:w="50" w:type="dxa"/>
              <w:bottom w:w="50" w:type="dxa"/>
              <w:left w:w="50" w:type="dxa"/>
              <w:right w:w="50" w:type="dxa"/>
            </w:tcMar>
          </w:tcPr>
          <w:p>
            <w:pPr>
              <w:jc w:val="left"/>
            </w:pPr>
            <w:r>
              <w:rPr>
                <w:rFonts w:ascii="Times New Roman" w:hAnsi="Times New Roman"/>
                <w:b/>
                <w:color w:val="FFFFFF"/>
                <w:sz w:val="17"/>
              </w:rPr>
              <w:t>DRIFT STATUS</w:t>
            </w:r>
          </w:p>
        </w:tc>
      </w:tr>
      <w:tr>
        <w:tc>
          <w:tcPr>
            <w:tcW w:type="dxa" w:w="2592"/>
            <w:tcMar>
              <w:top w:w="40" w:type="dxa"/>
              <w:bottom w:w="40" w:type="dxa"/>
              <w:left w:w="50" w:type="dxa"/>
              <w:right w:w="50" w:type="dxa"/>
            </w:tcMar>
          </w:tcPr>
          <w:p>
            <w:pPr>
              <w:jc w:val="left"/>
            </w:pPr>
            <w:r>
              <w:rPr>
                <w:rFonts w:ascii="Times New Roman" w:hAnsi="Times New Roman"/>
                <w:b/>
                <w:sz w:val="17"/>
              </w:rPr>
              <w:t>num_services</w:t>
            </w:r>
          </w:p>
        </w:tc>
        <w:tc>
          <w:tcPr>
            <w:tcW w:type="dxa" w:w="1584"/>
            <w:tcMar>
              <w:top w:w="40" w:type="dxa"/>
              <w:bottom w:w="40" w:type="dxa"/>
              <w:left w:w="50" w:type="dxa"/>
              <w:right w:w="50" w:type="dxa"/>
            </w:tcMar>
          </w:tcPr>
          <w:p>
            <w:pPr>
              <w:jc w:val="center"/>
            </w:pPr>
            <w:r>
              <w:rPr>
                <w:rFonts w:ascii="Times New Roman" w:hAnsi="Times New Roman"/>
                <w:sz w:val="17"/>
              </w:rPr>
              <w:t>4.170</w:t>
            </w:r>
          </w:p>
        </w:tc>
        <w:tc>
          <w:tcPr>
            <w:tcW w:type="dxa" w:w="1584"/>
            <w:tcMar>
              <w:top w:w="40" w:type="dxa"/>
              <w:bottom w:w="40" w:type="dxa"/>
              <w:left w:w="50" w:type="dxa"/>
              <w:right w:w="50" w:type="dxa"/>
            </w:tcMar>
          </w:tcPr>
          <w:p>
            <w:pPr>
              <w:jc w:val="center"/>
            </w:pPr>
            <w:r>
              <w:rPr>
                <w:rFonts w:ascii="Times New Roman" w:hAnsi="Times New Roman"/>
                <w:sz w:val="17"/>
              </w:rPr>
              <w:t>4.067</w:t>
            </w:r>
          </w:p>
        </w:tc>
        <w:tc>
          <w:tcPr>
            <w:tcW w:type="dxa" w:w="1584"/>
            <w:tcMar>
              <w:top w:w="40" w:type="dxa"/>
              <w:bottom w:w="40" w:type="dxa"/>
              <w:left w:w="50" w:type="dxa"/>
              <w:right w:w="50" w:type="dxa"/>
            </w:tcMar>
          </w:tcPr>
          <w:p>
            <w:pPr>
              <w:jc w:val="center"/>
            </w:pPr>
            <w:r>
              <w:rPr>
                <w:rFonts w:ascii="Times New Roman" w:hAnsi="Times New Roman"/>
                <w:sz w:val="17"/>
              </w:rPr>
              <w:t>0.0045</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MonthlyCharges</w:t>
            </w:r>
          </w:p>
        </w:tc>
        <w:tc>
          <w:tcPr>
            <w:tcW w:type="dxa" w:w="1584"/>
            <w:tcMar>
              <w:top w:w="40" w:type="dxa"/>
              <w:bottom w:w="40" w:type="dxa"/>
              <w:left w:w="50" w:type="dxa"/>
              <w:right w:w="50" w:type="dxa"/>
            </w:tcMar>
          </w:tcPr>
          <w:p>
            <w:pPr>
              <w:jc w:val="center"/>
            </w:pPr>
            <w:r>
              <w:rPr>
                <w:rFonts w:ascii="Times New Roman" w:hAnsi="Times New Roman"/>
                <w:sz w:val="17"/>
              </w:rPr>
              <w:t>$64.76</w:t>
            </w:r>
          </w:p>
        </w:tc>
        <w:tc>
          <w:tcPr>
            <w:tcW w:type="dxa" w:w="1584"/>
            <w:tcMar>
              <w:top w:w="40" w:type="dxa"/>
              <w:bottom w:w="40" w:type="dxa"/>
              <w:left w:w="50" w:type="dxa"/>
              <w:right w:w="50" w:type="dxa"/>
            </w:tcMar>
          </w:tcPr>
          <w:p>
            <w:pPr>
              <w:jc w:val="center"/>
            </w:pPr>
            <w:r>
              <w:rPr>
                <w:rFonts w:ascii="Times New Roman" w:hAnsi="Times New Roman"/>
                <w:sz w:val="17"/>
              </w:rPr>
              <w:t>$64.75</w:t>
            </w:r>
          </w:p>
        </w:tc>
        <w:tc>
          <w:tcPr>
            <w:tcW w:type="dxa" w:w="1584"/>
            <w:tcMar>
              <w:top w:w="40" w:type="dxa"/>
              <w:bottom w:w="40" w:type="dxa"/>
              <w:left w:w="50" w:type="dxa"/>
              <w:right w:w="50" w:type="dxa"/>
            </w:tcMar>
          </w:tcPr>
          <w:p>
            <w:pPr>
              <w:jc w:val="center"/>
            </w:pPr>
            <w:r>
              <w:rPr>
                <w:rFonts w:ascii="Times New Roman" w:hAnsi="Times New Roman"/>
                <w:sz w:val="17"/>
              </w:rPr>
              <w:t>0.0012</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tenure</w:t>
            </w:r>
          </w:p>
        </w:tc>
        <w:tc>
          <w:tcPr>
            <w:tcW w:type="dxa" w:w="1584"/>
            <w:tcMar>
              <w:top w:w="40" w:type="dxa"/>
              <w:bottom w:w="40" w:type="dxa"/>
              <w:left w:w="50" w:type="dxa"/>
              <w:right w:w="50" w:type="dxa"/>
            </w:tcMar>
          </w:tcPr>
          <w:p>
            <w:pPr>
              <w:jc w:val="center"/>
            </w:pPr>
            <w:r>
              <w:rPr>
                <w:rFonts w:ascii="Times New Roman" w:hAnsi="Times New Roman"/>
                <w:sz w:val="17"/>
              </w:rPr>
              <w:t>32.37 mo</w:t>
            </w:r>
          </w:p>
        </w:tc>
        <w:tc>
          <w:tcPr>
            <w:tcW w:type="dxa" w:w="1584"/>
            <w:tcMar>
              <w:top w:w="40" w:type="dxa"/>
              <w:bottom w:w="40" w:type="dxa"/>
              <w:left w:w="50" w:type="dxa"/>
              <w:right w:w="50" w:type="dxa"/>
            </w:tcMar>
          </w:tcPr>
          <w:p>
            <w:pPr>
              <w:jc w:val="center"/>
            </w:pPr>
            <w:r>
              <w:rPr>
                <w:rFonts w:ascii="Times New Roman" w:hAnsi="Times New Roman"/>
                <w:sz w:val="17"/>
              </w:rPr>
              <w:t>32.39 mo</w:t>
            </w:r>
          </w:p>
        </w:tc>
        <w:tc>
          <w:tcPr>
            <w:tcW w:type="dxa" w:w="1584"/>
            <w:tcMar>
              <w:top w:w="40" w:type="dxa"/>
              <w:bottom w:w="40" w:type="dxa"/>
              <w:left w:w="50" w:type="dxa"/>
              <w:right w:w="50" w:type="dxa"/>
            </w:tcMar>
          </w:tcPr>
          <w:p>
            <w:pPr>
              <w:jc w:val="center"/>
            </w:pPr>
            <w:r>
              <w:rPr>
                <w:rFonts w:ascii="Times New Roman" w:hAnsi="Times New Roman"/>
                <w:sz w:val="17"/>
              </w:rPr>
              <w:t>0.0008</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has_phone</w:t>
            </w:r>
          </w:p>
        </w:tc>
        <w:tc>
          <w:tcPr>
            <w:tcW w:type="dxa" w:w="1584"/>
            <w:tcMar>
              <w:top w:w="40" w:type="dxa"/>
              <w:bottom w:w="40" w:type="dxa"/>
              <w:left w:w="50" w:type="dxa"/>
              <w:right w:w="50" w:type="dxa"/>
            </w:tcMar>
          </w:tcPr>
          <w:p>
            <w:pPr>
              <w:jc w:val="center"/>
            </w:pPr>
            <w:r>
              <w:rPr>
                <w:rFonts w:ascii="Times New Roman" w:hAnsi="Times New Roman"/>
                <w:sz w:val="17"/>
              </w:rPr>
              <w:t>0.904</w:t>
            </w:r>
          </w:p>
        </w:tc>
        <w:tc>
          <w:tcPr>
            <w:tcW w:type="dxa" w:w="1584"/>
            <w:tcMar>
              <w:top w:w="40" w:type="dxa"/>
              <w:bottom w:w="40" w:type="dxa"/>
              <w:left w:w="50" w:type="dxa"/>
              <w:right w:w="50" w:type="dxa"/>
            </w:tcMar>
          </w:tcPr>
          <w:p>
            <w:pPr>
              <w:jc w:val="center"/>
            </w:pPr>
            <w:r>
              <w:rPr>
                <w:rFonts w:ascii="Times New Roman" w:hAnsi="Times New Roman"/>
                <w:sz w:val="17"/>
              </w:rPr>
              <w:t>0.898</w:t>
            </w:r>
          </w:p>
        </w:tc>
        <w:tc>
          <w:tcPr>
            <w:tcW w:type="dxa" w:w="1584"/>
            <w:tcMar>
              <w:top w:w="40" w:type="dxa"/>
              <w:bottom w:w="40" w:type="dxa"/>
              <w:left w:w="50" w:type="dxa"/>
              <w:right w:w="50" w:type="dxa"/>
            </w:tcMar>
          </w:tcPr>
          <w:p>
            <w:pPr>
              <w:jc w:val="center"/>
            </w:pPr>
            <w:r>
              <w:rPr>
                <w:rFonts w:ascii="Times New Roman" w:hAnsi="Times New Roman"/>
                <w:sz w:val="17"/>
              </w:rPr>
              <w:t>0.0000</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has_multiple_lines</w:t>
            </w:r>
          </w:p>
        </w:tc>
        <w:tc>
          <w:tcPr>
            <w:tcW w:type="dxa" w:w="1584"/>
            <w:tcMar>
              <w:top w:w="40" w:type="dxa"/>
              <w:bottom w:w="40" w:type="dxa"/>
              <w:left w:w="50" w:type="dxa"/>
              <w:right w:w="50" w:type="dxa"/>
            </w:tcMar>
          </w:tcPr>
          <w:p>
            <w:pPr>
              <w:jc w:val="center"/>
            </w:pPr>
            <w:r>
              <w:rPr>
                <w:rFonts w:ascii="Times New Roman" w:hAnsi="Times New Roman"/>
                <w:sz w:val="17"/>
              </w:rPr>
              <w:t>0.421</w:t>
            </w:r>
          </w:p>
        </w:tc>
        <w:tc>
          <w:tcPr>
            <w:tcW w:type="dxa" w:w="1584"/>
            <w:tcMar>
              <w:top w:w="40" w:type="dxa"/>
              <w:bottom w:w="40" w:type="dxa"/>
              <w:left w:w="50" w:type="dxa"/>
              <w:right w:w="50" w:type="dxa"/>
            </w:tcMar>
          </w:tcPr>
          <w:p>
            <w:pPr>
              <w:jc w:val="center"/>
            </w:pPr>
            <w:r>
              <w:rPr>
                <w:rFonts w:ascii="Times New Roman" w:hAnsi="Times New Roman"/>
                <w:sz w:val="17"/>
              </w:rPr>
              <w:t>0.422</w:t>
            </w:r>
          </w:p>
        </w:tc>
        <w:tc>
          <w:tcPr>
            <w:tcW w:type="dxa" w:w="1584"/>
            <w:tcMar>
              <w:top w:w="40" w:type="dxa"/>
              <w:bottom w:w="40" w:type="dxa"/>
              <w:left w:w="50" w:type="dxa"/>
              <w:right w:w="50" w:type="dxa"/>
            </w:tcMar>
          </w:tcPr>
          <w:p>
            <w:pPr>
              <w:jc w:val="center"/>
            </w:pPr>
            <w:r>
              <w:rPr>
                <w:rFonts w:ascii="Times New Roman" w:hAnsi="Times New Roman"/>
                <w:sz w:val="17"/>
              </w:rPr>
              <w:t>0.0000</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Overall Population</w:t>
            </w:r>
          </w:p>
        </w:tc>
        <w:tc>
          <w:tcPr>
            <w:tcW w:type="dxa" w:w="1584"/>
            <w:tcMar>
              <w:top w:w="40" w:type="dxa"/>
              <w:bottom w:w="40" w:type="dxa"/>
              <w:left w:w="50" w:type="dxa"/>
              <w:right w:w="50" w:type="dxa"/>
            </w:tcMar>
          </w:tcPr>
          <w:p>
            <w:pPr>
              <w:jc w:val="center"/>
            </w:pPr>
            <w:r>
              <w:rPr>
                <w:rFonts w:ascii="Times New Roman" w:hAnsi="Times New Roman"/>
                <w:sz w:val="17"/>
              </w:rPr>
              <w:t>—</w:t>
            </w:r>
          </w:p>
        </w:tc>
        <w:tc>
          <w:tcPr>
            <w:tcW w:type="dxa" w:w="1584"/>
            <w:tcMar>
              <w:top w:w="40" w:type="dxa"/>
              <w:bottom w:w="40" w:type="dxa"/>
              <w:left w:w="50" w:type="dxa"/>
              <w:right w:w="50" w:type="dxa"/>
            </w:tcMar>
          </w:tcPr>
          <w:p>
            <w:pPr>
              <w:jc w:val="center"/>
            </w:pPr>
            <w:r>
              <w:rPr>
                <w:rFonts w:ascii="Times New Roman" w:hAnsi="Times New Roman"/>
                <w:sz w:val="17"/>
              </w:rPr>
              <w:t>—</w:t>
            </w:r>
          </w:p>
        </w:tc>
        <w:tc>
          <w:tcPr>
            <w:tcW w:type="dxa" w:w="1584"/>
            <w:tcMar>
              <w:top w:w="40" w:type="dxa"/>
              <w:bottom w:w="40" w:type="dxa"/>
              <w:left w:w="50" w:type="dxa"/>
              <w:right w:w="50" w:type="dxa"/>
            </w:tcMar>
          </w:tcPr>
          <w:p>
            <w:pPr>
              <w:jc w:val="center"/>
            </w:pPr>
            <w:r>
              <w:rPr>
                <w:rFonts w:ascii="Times New Roman" w:hAnsi="Times New Roman"/>
                <w:sz w:val="17"/>
              </w:rPr>
              <w:t>0.0120 (Max)</w:t>
            </w:r>
          </w:p>
        </w:tc>
        <w:tc>
          <w:tcPr>
            <w:tcW w:type="dxa" w:w="2016"/>
            <w:tcMar>
              <w:top w:w="40" w:type="dxa"/>
              <w:bottom w:w="40" w:type="dxa"/>
              <w:left w:w="50" w:type="dxa"/>
              <w:right w:w="50" w:type="dxa"/>
            </w:tcMar>
          </w:tcPr>
          <w:p>
            <w:pPr>
              <w:jc w:val="left"/>
            </w:pPr>
            <w:r>
              <w:rPr>
                <w:rFonts w:ascii="Times New Roman" w:hAnsi="Times New Roman"/>
                <w:b/>
                <w:color w:val="1E6E32"/>
                <w:sz w:val="17"/>
              </w:rPr>
              <w:t>HEALTHY / IN-BOUNDS</w:t>
            </w:r>
          </w:p>
        </w:tc>
      </w:tr>
    </w:tbl>
    <w:p>
      <w:pPr>
        <w:spacing w:before="80" w:after="200" w:line="276" w:lineRule="auto"/>
        <w:jc w:val="center"/>
      </w:pPr>
      <w:r>
        <w:rPr>
          <w:rFonts w:ascii="Times New Roman" w:hAnsi="Times New Roman"/>
          <w:b/>
          <w:i/>
          <w:sz w:val="18"/>
        </w:rPr>
        <w:t>Table 5.7: Population Stability Index (PSI) Feature Drift Audit</w:t>
      </w:r>
    </w:p>
    <w:p>
      <w:pPr>
        <w:spacing w:before="0" w:after="160" w:line="276" w:lineRule="auto"/>
        <w:jc w:val="both"/>
      </w:pPr>
      <w:r>
        <w:rPr>
          <w:rFonts w:ascii="Times New Roman" w:hAnsi="Times New Roman"/>
          <w:color w:val="1E232D"/>
          <w:sz w:val="22"/>
        </w:rPr>
        <w:t>As established in Table 5.7, the maximum observed feature PSI is 0.0120 (well below the 0.10 threshold), confirming that the production feature space is completely stable and that the deployed survival and uplift models operate within their valid probabilistic domain.</w:t>
      </w:r>
    </w:p>
    <w:p>
      <w:pPr>
        <w:spacing w:before="160" w:after="80" w:line="276" w:lineRule="auto"/>
        <w:jc w:val="left"/>
      </w:pPr>
      <w:r>
        <w:rPr>
          <w:rFonts w:ascii="Times New Roman" w:hAnsi="Times New Roman"/>
          <w:b/>
          <w:color w:val="142D55"/>
          <w:sz w:val="26"/>
        </w:rPr>
        <w:t>5.12 INTERACTIVE DASHBOARD AND REST API PERFORMANCE</w:t>
      </w:r>
    </w:p>
    <w:p>
      <w:pPr>
        <w:spacing w:before="0" w:after="80" w:line="276" w:lineRule="auto"/>
        <w:jc w:val="both"/>
      </w:pPr>
      <w:r>
        <w:rPr>
          <w:rFonts w:ascii="Times New Roman" w:hAnsi="Times New Roman"/>
          <w:color w:val="1E232D"/>
          <w:sz w:val="22"/>
        </w:rPr>
        <w:t>The RetainIQ platform delivers operational value through two production-grade user interfaces: a high-performance RESTful API microservice and an 11-page dark-themed Streamlit decision console. API benchmarking confirms average response latencies under 15 milliseconds for single-customer scoring and &lt;50ms for multi-treatment counterfactual ranking.</w:t>
      </w:r>
    </w:p>
    <w:p>
      <w:pPr>
        <w:spacing w:before="0" w:after="80" w:line="276" w:lineRule="auto"/>
        <w:jc w:val="both"/>
      </w:pPr>
      <w:r>
        <w:rPr>
          <w:rFonts w:ascii="Times New Roman" w:hAnsi="Times New Roman"/>
          <w:color w:val="1E232D"/>
          <w:sz w:val="22"/>
        </w:rPr>
        <w:t>Figure 5.11 presents Page 01 (Executive Overview) of the Streamlit dashboard, displaying high-level portfolio KPIs, Kaplan-Meier curves, risk tier distribution, and the real-time priority action queue:</w:t>
      </w:r>
    </w:p>
    <w:p>
      <w:pPr>
        <w:spacing w:before="120" w:after="60"/>
        <w:jc w:val="center"/>
      </w:pPr>
      <w:r>
        <w:drawing>
          <wp:inline xmlns:a="http://schemas.openxmlformats.org/drawingml/2006/main" xmlns:pic="http://schemas.openxmlformats.org/drawingml/2006/picture">
            <wp:extent cx="4937760" cy="3497580"/>
            <wp:docPr id="17" name="Picture 17"/>
            <wp:cNvGraphicFramePr>
              <a:graphicFrameLocks noChangeAspect="1"/>
            </wp:cNvGraphicFramePr>
            <a:graphic>
              <a:graphicData uri="http://schemas.openxmlformats.org/drawingml/2006/picture">
                <pic:pic>
                  <pic:nvPicPr>
                    <pic:cNvPr id="0" name="dashboard_executive_overview.png"/>
                    <pic:cNvPicPr/>
                  </pic:nvPicPr>
                  <pic:blipFill>
                    <a:blip r:embed="rId27"/>
                    <a:stretch>
                      <a:fillRect/>
                    </a:stretch>
                  </pic:blipFill>
                  <pic:spPr>
                    <a:xfrm>
                      <a:off x="0" y="0"/>
                      <a:ext cx="4937760" cy="3497580"/>
                    </a:xfrm>
                    <a:prstGeom prst="rect"/>
                  </pic:spPr>
                </pic:pic>
              </a:graphicData>
            </a:graphic>
          </wp:inline>
        </w:drawing>
      </w:r>
    </w:p>
    <w:p>
      <w:pPr>
        <w:spacing w:before="40" w:after="160"/>
        <w:jc w:val="center"/>
      </w:pPr>
      <w:r>
        <w:rPr>
          <w:rFonts w:ascii="Times New Roman" w:hAnsi="Times New Roman"/>
          <w:b/>
          <w:i/>
          <w:color w:val="283246"/>
          <w:sz w:val="19"/>
        </w:rPr>
        <w:t>Figure 5.11: RetainIQ Streamlit Dashboard: Executive Portfolio Overview &amp; Risk Stratification Cockpit</w:t>
      </w:r>
    </w:p>
    <w:p>
      <w:pPr>
        <w:spacing w:before="0" w:after="80" w:line="276" w:lineRule="auto"/>
        <w:jc w:val="both"/>
      </w:pPr>
      <w:r>
        <w:rPr>
          <w:rFonts w:ascii="Times New Roman" w:hAnsi="Times New Roman"/>
          <w:color w:val="1E232D"/>
          <w:sz w:val="22"/>
        </w:rPr>
        <w:t>Figure 5.12 presents Page 06 (Treatment Studio &amp; Uplift Simulator) and Page 07 (Campaign ROI Optimizer), displaying interactive budget sweep sliders, cumulative uplift curves, treatment allocation distributions, and single-customer counterfactual simulators:</w:t>
      </w:r>
    </w:p>
    <w:p>
      <w:pPr>
        <w:spacing w:before="120" w:after="60"/>
        <w:jc w:val="center"/>
      </w:pPr>
      <w:r>
        <w:drawing>
          <wp:inline xmlns:a="http://schemas.openxmlformats.org/drawingml/2006/main" xmlns:pic="http://schemas.openxmlformats.org/drawingml/2006/picture">
            <wp:extent cx="4937760" cy="3497580"/>
            <wp:docPr id="18" name="Picture 18"/>
            <wp:cNvGraphicFramePr>
              <a:graphicFrameLocks noChangeAspect="1"/>
            </wp:cNvGraphicFramePr>
            <a:graphic>
              <a:graphicData uri="http://schemas.openxmlformats.org/drawingml/2006/picture">
                <pic:pic>
                  <pic:nvPicPr>
                    <pic:cNvPr id="0" name="dashboard_treatment_studio.png"/>
                    <pic:cNvPicPr/>
                  </pic:nvPicPr>
                  <pic:blipFill>
                    <a:blip r:embed="rId28"/>
                    <a:stretch>
                      <a:fillRect/>
                    </a:stretch>
                  </pic:blipFill>
                  <pic:spPr>
                    <a:xfrm>
                      <a:off x="0" y="0"/>
                      <a:ext cx="4937760" cy="3497580"/>
                    </a:xfrm>
                    <a:prstGeom prst="rect"/>
                  </pic:spPr>
                </pic:pic>
              </a:graphicData>
            </a:graphic>
          </wp:inline>
        </w:drawing>
      </w:r>
    </w:p>
    <w:p>
      <w:pPr>
        <w:spacing w:before="40" w:after="160"/>
        <w:jc w:val="center"/>
      </w:pPr>
      <w:r>
        <w:rPr>
          <w:rFonts w:ascii="Times New Roman" w:hAnsi="Times New Roman"/>
          <w:b/>
          <w:i/>
          <w:color w:val="283246"/>
          <w:sz w:val="19"/>
        </w:rPr>
        <w:t>Figure 5.12: RetainIQ Streamlit Dashboard: Treatment Studio &amp; Campaign ROI Optimizer</w:t>
      </w:r>
    </w:p>
    <w:p>
      <w:pPr>
        <w:spacing w:before="0" w:after="160" w:line="276" w:lineRule="auto"/>
        <w:jc w:val="both"/>
      </w:pPr>
      <w:r>
        <w:rPr>
          <w:rFonts w:ascii="Times New Roman" w:hAnsi="Times New Roman"/>
          <w:color w:val="1E232D"/>
          <w:sz w:val="22"/>
        </w:rPr>
        <w:t>As demonstrated in Figures 5.11 and 5.12, the dashboard provides a seamless operational workflow for enterprise retention teams. Strategists can monitor aggregate portfolio risk, simulate campaign ROI across budget boundaries, inspect individual customer 360 survival curves, test counterfactual treatment what-ifs, and review immutable SHA-256 audit logs with complete transparency.</w:t>
      </w:r>
    </w:p>
    <w:p>
      <w:r>
        <w:br w:type="page"/>
      </w:r>
    </w:p>
    <w:p>
      <w:pPr>
        <w:spacing w:before="300" w:after="240" w:line="276" w:lineRule="auto"/>
        <w:jc w:val="left"/>
      </w:pPr>
      <w:r>
        <w:rPr>
          <w:rFonts w:ascii="Times New Roman" w:hAnsi="Times New Roman"/>
          <w:b/>
          <w:color w:val="0F1E41"/>
          <w:sz w:val="30"/>
        </w:rPr>
        <w:t>CHAPTER 6: CONCLUSION AND FUTURE WORK</w:t>
      </w:r>
    </w:p>
    <w:p>
      <w:pPr>
        <w:spacing w:before="160" w:after="80" w:line="276" w:lineRule="auto"/>
        <w:jc w:val="left"/>
      </w:pPr>
      <w:r>
        <w:rPr>
          <w:rFonts w:ascii="Times New Roman" w:hAnsi="Times New Roman"/>
          <w:b/>
          <w:color w:val="142D55"/>
          <w:sz w:val="26"/>
        </w:rPr>
        <w:t>6.1 PROJECT SYNTHESIS AND EMPIRICAL CONCLUSION</w:t>
      </w:r>
    </w:p>
    <w:p>
      <w:pPr>
        <w:spacing w:before="0" w:after="80" w:line="276" w:lineRule="auto"/>
        <w:jc w:val="both"/>
      </w:pPr>
      <w:r>
        <w:rPr>
          <w:rFonts w:ascii="Times New Roman" w:hAnsi="Times New Roman"/>
          <w:color w:val="1E232D"/>
          <w:sz w:val="22"/>
        </w:rPr>
        <w:t>This capstone project designed, implemented, validated, and deployed RetainIQ (Project ID: BDS-11), an advanced enterprise decision-support ecosystem for survival-based churn modeling and personalized retention treatment ranking. The primary motivation of this research was to dismantle the pervasive reliance on static binary classification models, which inflict structural damage on enterprise retention strategies through survival blindness, right-censoring distortion, and the false conflation of churn correlation with causal intervention efficacy.</w:t>
      </w:r>
    </w:p>
    <w:p>
      <w:pPr>
        <w:spacing w:before="0" w:after="80" w:line="276" w:lineRule="auto"/>
        <w:jc w:val="both"/>
      </w:pPr>
      <w:r>
        <w:rPr>
          <w:rFonts w:ascii="Times New Roman" w:hAnsi="Times New Roman"/>
          <w:color w:val="1E232D"/>
          <w:sz w:val="22"/>
        </w:rPr>
        <w:t>By grounding the analytical architecture in time-to-event statistical theory, RetainIQ successfully models the continuous survival probability curve S(t) = P(T &gt; t) and hazard rate h(t) of every subscriber. Through rigorous empirical benchmarking on an authentic cohort of 7,043 telecommunications accounts, the parametric Weibull Accelerated Failure Time (AFT) model and semi-parametric Cox Proportional Hazards model achieved state-of-the-art test Concordance Indices of 0.8697 and 0.8694 respectively, decisively outperforming the standard naive binary logistic classifier baseline (0.8283). At the operational 90-day horizon, the Weibull AFT model demonstrated exceptional probabilistic calibration, yielding an Integrated Brier Score of 0.0818 (a 38.8% error reduction over baseline).</w:t>
      </w:r>
    </w:p>
    <w:p>
      <w:pPr>
        <w:spacing w:before="0" w:after="80" w:line="276" w:lineRule="auto"/>
        <w:jc w:val="both"/>
      </w:pPr>
      <w:r>
        <w:rPr>
          <w:rFonts w:ascii="Times New Roman" w:hAnsi="Times New Roman"/>
          <w:color w:val="1E232D"/>
          <w:sz w:val="22"/>
        </w:rPr>
        <w:t>Crucially, RetainIQ bridges the historical chasm between statistical prediction and prescriptive business economics. By deploying causal Meta-Learners—most notably the multi-arm T-Learner architecture, which achieved an outstanding Qini score of 0.6920—the system accurately isolates the counterfactual survival uplift Delta S_ik(t) across four distinct retention treatments. Coupling treatment uplift with customer Lifetime Value (LTV) and intervention unit costs allows the Prescriptive Ranking Engine to optimize portfolio Expected Retention Value (ERV). Under a simulated $15,000 campaign budget, RetainIQ allocated 1,248 accounts to capture $48,920 in Net ERV at an outstanding 329.2% ROI, while enforcing strict zero-cost fallbacks for non-responsive accounts.</w:t>
      </w:r>
    </w:p>
    <w:p>
      <w:pPr>
        <w:spacing w:before="0" w:after="80" w:line="276" w:lineRule="auto"/>
        <w:jc w:val="both"/>
      </w:pPr>
      <w:r>
        <w:rPr>
          <w:rFonts w:ascii="Times New Roman" w:hAnsi="Times New Roman"/>
          <w:color w:val="1E232D"/>
          <w:sz w:val="22"/>
        </w:rPr>
        <w:t>Finally, RetainIQ establishes an exemplary standard for enterprise AI governance. The integration of a tamper-evident SHA-256 cryptographic audit trail, automated Population Stability Index (PSI) drift monitoring (max PSI = 0.0120), adversarial stress testing (maintaining 98.32% performance retention under 20% missingness), a sub-15ms FastAPI REST microservice, and an 11-page dark-themed Streamlit cockpit confirms that RetainIQ is not a mere theoretical prototype, but a robust, production-ready decision platform.</w:t>
      </w:r>
    </w:p>
    <w:p>
      <w:pPr>
        <w:spacing w:before="160" w:after="80" w:line="276" w:lineRule="auto"/>
        <w:jc w:val="left"/>
      </w:pPr>
      <w:r>
        <w:rPr>
          <w:rFonts w:ascii="Times New Roman" w:hAnsi="Times New Roman"/>
          <w:b/>
          <w:color w:val="142D55"/>
          <w:sz w:val="26"/>
        </w:rPr>
        <w:t>6.2 FUTURE SCOPE AND ARCHITECTURAL EXTENSIONS</w:t>
      </w:r>
    </w:p>
    <w:p>
      <w:pPr>
        <w:spacing w:before="0" w:after="80" w:line="276" w:lineRule="auto"/>
        <w:jc w:val="both"/>
      </w:pPr>
      <w:r>
        <w:rPr>
          <w:rFonts w:ascii="Times New Roman" w:hAnsi="Times New Roman"/>
          <w:color w:val="1E232D"/>
          <w:sz w:val="22"/>
        </w:rPr>
        <w:t>While RetainIQ achieves high predictive accuracy and economic efficiency, several promising avenues exist for future academic and industrial expansion:</w:t>
      </w:r>
    </w:p>
    <w:p>
      <w:pPr>
        <w:spacing w:before="40" w:after="60" w:line="276" w:lineRule="auto"/>
        <w:jc w:val="both"/>
      </w:pPr>
      <w:r>
        <w:rPr>
          <w:rFonts w:ascii="Times New Roman" w:hAnsi="Times New Roman"/>
          <w:b/>
          <w:color w:val="141E2D"/>
          <w:sz w:val="22"/>
        </w:rPr>
        <w:t xml:space="preserve">1. Multi-Armed Contextual Bandits for Real-Time Treatment Allocation: </w:t>
      </w:r>
      <w:r>
        <w:rPr>
          <w:rFonts w:ascii="Times New Roman" w:hAnsi="Times New Roman"/>
          <w:color w:val="1E232D"/>
          <w:sz w:val="22"/>
        </w:rPr>
        <w:t>Transitioning from offline batch causal meta-learners to online contextual bandit algorithms (such as LinUCB or Thompson Sampling) would enable the system to continuously balance exploration (testing new retention offers on small randomized cohorts) with exploitation (allocating proven treatments to high-value accounts), adapting dynamically to shifting consumer preferences.</w:t>
      </w:r>
    </w:p>
    <w:p>
      <w:pPr>
        <w:spacing w:before="40" w:after="60" w:line="276" w:lineRule="auto"/>
        <w:jc w:val="both"/>
      </w:pPr>
      <w:r>
        <w:rPr>
          <w:rFonts w:ascii="Times New Roman" w:hAnsi="Times New Roman"/>
          <w:b/>
          <w:color w:val="141E2D"/>
          <w:sz w:val="22"/>
        </w:rPr>
        <w:t xml:space="preserve">2. Real-World Randomized Controlled Trials (RCTs) &amp; A/B Experimentation: </w:t>
      </w:r>
      <w:r>
        <w:rPr>
          <w:rFonts w:ascii="Times New Roman" w:hAnsi="Times New Roman"/>
          <w:color w:val="1E232D"/>
          <w:sz w:val="22"/>
        </w:rPr>
        <w:t>Deploying RetainIQ within an active commercial telecommunications environment to conduct large-scale, prospective randomized controlled trials. This would validate counterfactual treatment effect estimates against live customer behavioral responses, eliminating residual unobserved confounding.</w:t>
      </w:r>
    </w:p>
    <w:p>
      <w:pPr>
        <w:spacing w:before="40" w:after="60" w:line="276" w:lineRule="auto"/>
        <w:jc w:val="both"/>
      </w:pPr>
      <w:r>
        <w:rPr>
          <w:rFonts w:ascii="Times New Roman" w:hAnsi="Times New Roman"/>
          <w:b/>
          <w:color w:val="141E2D"/>
          <w:sz w:val="22"/>
        </w:rPr>
        <w:t xml:space="preserve">3. Deep Learning Survival Architectures (DeepSurv &amp; Cox-Time): </w:t>
      </w:r>
      <w:r>
        <w:rPr>
          <w:rFonts w:ascii="Times New Roman" w:hAnsi="Times New Roman"/>
          <w:color w:val="1E232D"/>
          <w:sz w:val="22"/>
        </w:rPr>
        <w:t>Integrating deep neural network survival estimators—such as DeepSurv (non-linear proportional hazards) and Cox-Time (neural models relaxing proportional hazards over time)—to ingest high-frequency longitudinal telemetry, such as daily streaming usage, customer service chat transcripts, and network quality-of-service (QoS) time series.</w:t>
      </w:r>
    </w:p>
    <w:p>
      <w:pPr>
        <w:spacing w:before="40" w:after="60" w:line="276" w:lineRule="auto"/>
        <w:jc w:val="both"/>
      </w:pPr>
      <w:r>
        <w:rPr>
          <w:rFonts w:ascii="Times New Roman" w:hAnsi="Times New Roman"/>
          <w:b/>
          <w:color w:val="141E2D"/>
          <w:sz w:val="22"/>
        </w:rPr>
        <w:t xml:space="preserve">4. Automated Retention Marketing CRM Orchestration: </w:t>
      </w:r>
      <w:r>
        <w:rPr>
          <w:rFonts w:ascii="Times New Roman" w:hAnsi="Times New Roman"/>
          <w:color w:val="1E232D"/>
          <w:sz w:val="22"/>
        </w:rPr>
        <w:t>Developing native webhook connectors for enterprise CRM and marketing automation platforms (e.g., Salesforce Marketing Cloud, HubSpot, Braze), enabling automated, programmatic dispatch of prescribed email promotions, SMS vouchers, and customer success tasks.</w:t>
      </w:r>
    </w:p>
    <w:p>
      <w:pPr>
        <w:spacing w:before="160" w:after="80" w:line="276" w:lineRule="auto"/>
        <w:jc w:val="left"/>
      </w:pPr>
      <w:r>
        <w:rPr>
          <w:rFonts w:ascii="Times New Roman" w:hAnsi="Times New Roman"/>
          <w:b/>
          <w:color w:val="142D55"/>
          <w:sz w:val="26"/>
        </w:rPr>
        <w:t>6.3 REAL-WORLD OPERATIONAL LIMITATIONS</w:t>
      </w:r>
    </w:p>
    <w:p>
      <w:pPr>
        <w:spacing w:before="0" w:after="80" w:line="276" w:lineRule="auto"/>
        <w:jc w:val="both"/>
      </w:pPr>
      <w:r>
        <w:rPr>
          <w:rFonts w:ascii="Times New Roman" w:hAnsi="Times New Roman"/>
          <w:color w:val="1E232D"/>
          <w:sz w:val="22"/>
        </w:rPr>
        <w:t>In maintaining complete academic and technical integrity, several operational limitations must be explicitly acknowledged:</w:t>
      </w:r>
    </w:p>
    <w:p>
      <w:pPr>
        <w:spacing w:before="40" w:after="60" w:line="276" w:lineRule="auto"/>
        <w:jc w:val="both"/>
      </w:pPr>
      <w:r>
        <w:rPr>
          <w:rFonts w:ascii="Times New Roman" w:hAnsi="Times New Roman"/>
          <w:b/>
          <w:color w:val="141E2D"/>
          <w:sz w:val="22"/>
        </w:rPr>
        <w:t xml:space="preserve">1. Observational and Simulated Treatment Assignment: </w:t>
      </w:r>
      <w:r>
        <w:rPr>
          <w:rFonts w:ascii="Times New Roman" w:hAnsi="Times New Roman"/>
          <w:color w:val="1E232D"/>
          <w:sz w:val="22"/>
        </w:rPr>
        <w:t>In common with most benchmark retention research, the baseline IBM Telco dataset does not contain historical randomized intervention logs. Consequently, treatment assignment and counterfactual uplift curves were generated using calibrated simulation models based on realistic business rules. While mathematically robust, causal claims must be validated in live randomized trials before committing multi-million-dollar marketing capital.</w:t>
      </w:r>
    </w:p>
    <w:p>
      <w:pPr>
        <w:spacing w:before="40" w:after="60" w:line="276" w:lineRule="auto"/>
        <w:jc w:val="both"/>
      </w:pPr>
      <w:r>
        <w:rPr>
          <w:rFonts w:ascii="Times New Roman" w:hAnsi="Times New Roman"/>
          <w:b/>
          <w:color w:val="141E2D"/>
          <w:sz w:val="22"/>
        </w:rPr>
        <w:t xml:space="preserve">2. Static Snapshot Telemetry vs. Longitudinal Event Streams: </w:t>
      </w:r>
      <w:r>
        <w:rPr>
          <w:rFonts w:ascii="Times New Roman" w:hAnsi="Times New Roman"/>
          <w:color w:val="1E232D"/>
          <w:sz w:val="22"/>
        </w:rPr>
        <w:t>The dataset represents a cross-sectional snapshot of subscriber tenure rather than high-frequency time-varying covariates. Fluctuations in customer sentiment, recent technical support disputes, or macroeconomic inflationary shocks occurring immediately prior to churn are not captured in static tabular attributes.</w:t>
      </w:r>
    </w:p>
    <w:p>
      <w:pPr>
        <w:spacing w:before="40" w:after="60" w:line="276" w:lineRule="auto"/>
        <w:jc w:val="both"/>
      </w:pPr>
      <w:r>
        <w:rPr>
          <w:rFonts w:ascii="Times New Roman" w:hAnsi="Times New Roman"/>
          <w:b/>
          <w:color w:val="141E2D"/>
          <w:sz w:val="22"/>
        </w:rPr>
        <w:t xml:space="preserve">3. Assumption of Unconfoundedness: </w:t>
      </w:r>
      <w:r>
        <w:rPr>
          <w:rFonts w:ascii="Times New Roman" w:hAnsi="Times New Roman"/>
          <w:color w:val="1E232D"/>
          <w:sz w:val="22"/>
        </w:rPr>
        <w:t>Causal uplift estimation relies on the Strong Ignorability assumption (Conditional Independence): (Y(1), Y(0)) independent of W | X. If unobserved confounders—such as competitor promotional blitzes in specific postal codes—influence both treatment eligibility and churn propensity, uplift estimates may exhibit residual bias.</w:t>
      </w:r>
    </w:p>
    <w:p>
      <w:pPr>
        <w:spacing w:before="40" w:after="60" w:line="276" w:lineRule="auto"/>
        <w:jc w:val="both"/>
      </w:pPr>
      <w:r>
        <w:rPr>
          <w:rFonts w:ascii="Times New Roman" w:hAnsi="Times New Roman"/>
          <w:b/>
          <w:color w:val="141E2D"/>
          <w:sz w:val="22"/>
        </w:rPr>
        <w:t xml:space="preserve">4. Single-Institution Scope: </w:t>
      </w:r>
      <w:r>
        <w:rPr>
          <w:rFonts w:ascii="Times New Roman" w:hAnsi="Times New Roman"/>
          <w:color w:val="1E232D"/>
          <w:sz w:val="22"/>
        </w:rPr>
        <w:t>The empirical benchmarks reflect telecommunications consumer behavior. While the underlying survival and uplift methodology is theoretically universal, hyperparameter tunings, hazard coefficients, and optimal treatment rules must be recalibrated when migrating to B2B enterprise SaaS, digital media, or financial banking datasets.</w:t>
      </w:r>
    </w:p>
    <w:p>
      <w:r>
        <w:br w:type="page"/>
      </w:r>
    </w:p>
    <w:p>
      <w:pPr>
        <w:spacing w:before="300" w:after="240" w:line="276" w:lineRule="auto"/>
        <w:jc w:val="left"/>
      </w:pPr>
      <w:r>
        <w:rPr>
          <w:rFonts w:ascii="Times New Roman" w:hAnsi="Times New Roman"/>
          <w:b/>
          <w:color w:val="0F1E41"/>
          <w:sz w:val="30"/>
        </w:rPr>
        <w:t>CHAPTER 7: REFERENCES</w:t>
      </w:r>
    </w:p>
    <w:p>
      <w:pPr>
        <w:spacing w:before="0" w:after="80" w:line="276" w:lineRule="auto"/>
        <w:jc w:val="both"/>
      </w:pPr>
      <w:r>
        <w:rPr>
          <w:rFonts w:ascii="Times New Roman" w:hAnsi="Times New Roman"/>
          <w:color w:val="1E232D"/>
          <w:sz w:val="22"/>
        </w:rPr>
        <w:t>The following bibliography comprises authoritative academic textbooks, peer-reviewed journal articles, foundational conference papers, and official technical specifications supporting the mathematical, statistical, and software engineering foundations of RetainIQ:</w:t>
      </w:r>
    </w:p>
    <w:p>
      <w:pPr>
        <w:spacing w:before="40" w:after="60" w:line="276" w:lineRule="auto"/>
        <w:ind w:left="576" w:hanging="576"/>
        <w:jc w:val="both"/>
      </w:pPr>
      <w:r>
        <w:rPr>
          <w:rFonts w:ascii="Times New Roman" w:hAnsi="Times New Roman"/>
          <w:b/>
          <w:color w:val="0F1E41"/>
          <w:sz w:val="19"/>
        </w:rPr>
        <w:t xml:space="preserve">1. Kaplan, E. L., &amp; Meier, P. (1958). </w:t>
      </w:r>
      <w:r>
        <w:rPr>
          <w:rFonts w:ascii="Times New Roman" w:hAnsi="Times New Roman"/>
          <w:color w:val="1E232D"/>
          <w:sz w:val="19"/>
        </w:rPr>
        <w:t>Nonparametric estimation from incomplete observations. Journal of the American Statistical Association, 53(282), 457–481. https://doi.org/10.1080/01621459.1958.10501452</w:t>
      </w:r>
    </w:p>
    <w:p>
      <w:pPr>
        <w:spacing w:before="40" w:after="60" w:line="276" w:lineRule="auto"/>
        <w:ind w:left="576" w:hanging="576"/>
        <w:jc w:val="both"/>
      </w:pPr>
      <w:r>
        <w:rPr>
          <w:rFonts w:ascii="Times New Roman" w:hAnsi="Times New Roman"/>
          <w:b/>
          <w:color w:val="0F1E41"/>
          <w:sz w:val="19"/>
        </w:rPr>
        <w:t xml:space="preserve">2. Cox, D. R. (1972). </w:t>
      </w:r>
      <w:r>
        <w:rPr>
          <w:rFonts w:ascii="Times New Roman" w:hAnsi="Times New Roman"/>
          <w:color w:val="1E232D"/>
          <w:sz w:val="19"/>
        </w:rPr>
        <w:t>Regression models and life-tables. Journal of the Royal Statistical Society: Series B (Methodological), 34(2), 187–202. https://doi.org/10.1111/j.2517-6161.1972.tb00899.x</w:t>
      </w:r>
    </w:p>
    <w:p>
      <w:pPr>
        <w:spacing w:before="40" w:after="60" w:line="276" w:lineRule="auto"/>
        <w:ind w:left="576" w:hanging="576"/>
        <w:jc w:val="both"/>
      </w:pPr>
      <w:r>
        <w:rPr>
          <w:rFonts w:ascii="Times New Roman" w:hAnsi="Times New Roman"/>
          <w:b/>
          <w:color w:val="0F1E41"/>
          <w:sz w:val="19"/>
        </w:rPr>
        <w:t xml:space="preserve">3. Ishwaran, H., Kogalur, U. B., Blackstone, E. H., &amp; Lauer, M. S. (2008). </w:t>
      </w:r>
      <w:r>
        <w:rPr>
          <w:rFonts w:ascii="Times New Roman" w:hAnsi="Times New Roman"/>
          <w:color w:val="1E232D"/>
          <w:sz w:val="19"/>
        </w:rPr>
        <w:t>Random survival forests. The Annals of Applied Statistics, 2(3), 841–860. https://doi.org/10.1214/08-AOAS169</w:t>
      </w:r>
    </w:p>
    <w:p>
      <w:pPr>
        <w:spacing w:before="40" w:after="60" w:line="276" w:lineRule="auto"/>
        <w:ind w:left="576" w:hanging="576"/>
        <w:jc w:val="both"/>
      </w:pPr>
      <w:r>
        <w:rPr>
          <w:rFonts w:ascii="Times New Roman" w:hAnsi="Times New Roman"/>
          <w:b/>
          <w:color w:val="0F1E41"/>
          <w:sz w:val="19"/>
        </w:rPr>
        <w:t xml:space="preserve">4. Harrell, F. E., Califf, R. M., Pryor, D. B., Lee, K. L., &amp; Rosati, R. A. (1982). </w:t>
      </w:r>
      <w:r>
        <w:rPr>
          <w:rFonts w:ascii="Times New Roman" w:hAnsi="Times New Roman"/>
          <w:color w:val="1E232D"/>
          <w:sz w:val="19"/>
        </w:rPr>
        <w:t>Evaluating the yield of medical tests. JAMA: The Journal of the American Medical Association, 247(18), 2543–2546. https://doi.org/10.1001/jama.1982.03320430047030</w:t>
      </w:r>
    </w:p>
    <w:p>
      <w:pPr>
        <w:spacing w:before="40" w:after="60" w:line="276" w:lineRule="auto"/>
        <w:ind w:left="576" w:hanging="576"/>
        <w:jc w:val="both"/>
      </w:pPr>
      <w:r>
        <w:rPr>
          <w:rFonts w:ascii="Times New Roman" w:hAnsi="Times New Roman"/>
          <w:b/>
          <w:color w:val="0F1E41"/>
          <w:sz w:val="19"/>
        </w:rPr>
        <w:t xml:space="preserve">5. Brier, G. W. (1950). </w:t>
      </w:r>
      <w:r>
        <w:rPr>
          <w:rFonts w:ascii="Times New Roman" w:hAnsi="Times New Roman"/>
          <w:color w:val="1E232D"/>
          <w:sz w:val="19"/>
        </w:rPr>
        <w:t>Verification of forecasts expressed in terms of probability. Monthly Weather Review, 78(1), 1–3. https://doi.org/10.1175/1520-0493(1950)078&lt;0001:VOFEIT&gt;2.0.CO;2</w:t>
      </w:r>
    </w:p>
    <w:p>
      <w:pPr>
        <w:spacing w:before="40" w:after="60" w:line="276" w:lineRule="auto"/>
        <w:ind w:left="576" w:hanging="576"/>
        <w:jc w:val="both"/>
      </w:pPr>
      <w:r>
        <w:rPr>
          <w:rFonts w:ascii="Times New Roman" w:hAnsi="Times New Roman"/>
          <w:b/>
          <w:color w:val="0F1E41"/>
          <w:sz w:val="19"/>
        </w:rPr>
        <w:t xml:space="preserve">6. Graf, E., Schmoor, C., Sauerbrei, W., &amp; Schumacher, M. (1999). </w:t>
      </w:r>
      <w:r>
        <w:rPr>
          <w:rFonts w:ascii="Times New Roman" w:hAnsi="Times New Roman"/>
          <w:color w:val="1E232D"/>
          <w:sz w:val="19"/>
        </w:rPr>
        <w:t>Assessment and comparison of prognostic classification schemes for survival data. Statistics in Medicine, 18(17‐18), 2529–2545. https://doi.org/10.1002/(SICI)1097-0258(19990915/30)18:17/18&lt;2529::AID-SIM274&gt;3.0.CO;2-5</w:t>
      </w:r>
    </w:p>
    <w:p>
      <w:pPr>
        <w:spacing w:before="40" w:after="60" w:line="276" w:lineRule="auto"/>
        <w:ind w:left="576" w:hanging="576"/>
        <w:jc w:val="both"/>
      </w:pPr>
      <w:r>
        <w:rPr>
          <w:rFonts w:ascii="Times New Roman" w:hAnsi="Times New Roman"/>
          <w:b/>
          <w:color w:val="0F1E41"/>
          <w:sz w:val="19"/>
        </w:rPr>
        <w:t xml:space="preserve">7. Künzel, S. R., Sekhon, J. S., Bickel, P. J., &amp; Yu, B. (2019). </w:t>
      </w:r>
      <w:r>
        <w:rPr>
          <w:rFonts w:ascii="Times New Roman" w:hAnsi="Times New Roman"/>
          <w:color w:val="1E232D"/>
          <w:sz w:val="19"/>
        </w:rPr>
        <w:t>Metalearners for estimating heterogeneous treatment effects using machine learning. Proceedings of the National Academy of Sciences, 116(10), 4156–4165. https://doi.org/10.1073/pnas.1804597116</w:t>
      </w:r>
    </w:p>
    <w:p>
      <w:pPr>
        <w:spacing w:before="40" w:after="60" w:line="276" w:lineRule="auto"/>
        <w:ind w:left="576" w:hanging="576"/>
        <w:jc w:val="both"/>
      </w:pPr>
      <w:r>
        <w:rPr>
          <w:rFonts w:ascii="Times New Roman" w:hAnsi="Times New Roman"/>
          <w:b/>
          <w:color w:val="0F1E41"/>
          <w:sz w:val="19"/>
        </w:rPr>
        <w:t xml:space="preserve">8. Gutiérrez, P., &amp; Gérardy, J. Y. (2017). </w:t>
      </w:r>
      <w:r>
        <w:rPr>
          <w:rFonts w:ascii="Times New Roman" w:hAnsi="Times New Roman"/>
          <w:color w:val="1E232D"/>
          <w:sz w:val="19"/>
        </w:rPr>
        <w:t>Causal inference and uplift modelling: A review of the literature. In International Conference on Predictive Applications and APIs (pp. 1–13). PMLR.</w:t>
      </w:r>
    </w:p>
    <w:p>
      <w:pPr>
        <w:spacing w:before="40" w:after="60" w:line="276" w:lineRule="auto"/>
        <w:ind w:left="576" w:hanging="576"/>
        <w:jc w:val="both"/>
      </w:pPr>
      <w:r>
        <w:rPr>
          <w:rFonts w:ascii="Times New Roman" w:hAnsi="Times New Roman"/>
          <w:b/>
          <w:color w:val="0F1E41"/>
          <w:sz w:val="19"/>
        </w:rPr>
        <w:t xml:space="preserve">9. Radcliffe, N. J., &amp; Surry, P. D. (2011). </w:t>
      </w:r>
      <w:r>
        <w:rPr>
          <w:rFonts w:ascii="Times New Roman" w:hAnsi="Times New Roman"/>
          <w:color w:val="1E232D"/>
          <w:sz w:val="19"/>
        </w:rPr>
        <w:t>Real-world uplift modelling with significance-based uplift trees. White Paper TR-2011-1, Stochastic Solutions Limited.</w:t>
      </w:r>
    </w:p>
    <w:p>
      <w:pPr>
        <w:spacing w:before="40" w:after="60" w:line="276" w:lineRule="auto"/>
        <w:ind w:left="576" w:hanging="576"/>
        <w:jc w:val="both"/>
      </w:pPr>
      <w:r>
        <w:rPr>
          <w:rFonts w:ascii="Times New Roman" w:hAnsi="Times New Roman"/>
          <w:b/>
          <w:color w:val="0F1E41"/>
          <w:sz w:val="19"/>
        </w:rPr>
        <w:t xml:space="preserve">10. Ascarza, E. (2018). </w:t>
      </w:r>
      <w:r>
        <w:rPr>
          <w:rFonts w:ascii="Times New Roman" w:hAnsi="Times New Roman"/>
          <w:color w:val="1E232D"/>
          <w:sz w:val="19"/>
        </w:rPr>
        <w:t>Retention futility: Targeting high-risk customers might be ineffective. Journal of Marketing Research, 55(1), 80–98. https://doi.org/10.1509/jmr.16.0163</w:t>
      </w:r>
    </w:p>
    <w:p>
      <w:pPr>
        <w:spacing w:before="40" w:after="60" w:line="276" w:lineRule="auto"/>
        <w:ind w:left="576" w:hanging="576"/>
        <w:jc w:val="both"/>
      </w:pPr>
      <w:r>
        <w:rPr>
          <w:rFonts w:ascii="Times New Roman" w:hAnsi="Times New Roman"/>
          <w:b/>
          <w:color w:val="0F1E41"/>
          <w:sz w:val="19"/>
        </w:rPr>
        <w:t xml:space="preserve">11. Efron, B. (1977). </w:t>
      </w:r>
      <w:r>
        <w:rPr>
          <w:rFonts w:ascii="Times New Roman" w:hAnsi="Times New Roman"/>
          <w:color w:val="1E232D"/>
          <w:sz w:val="19"/>
        </w:rPr>
        <w:t>The efficiency of Cox's likelihood function for censored data. Journal of the American Statistical Association, 72(359), 557–565. https://doi.org/10.1080/01621459.1977.10480613</w:t>
      </w:r>
    </w:p>
    <w:p>
      <w:pPr>
        <w:spacing w:before="40" w:after="60" w:line="276" w:lineRule="auto"/>
        <w:ind w:left="576" w:hanging="576"/>
        <w:jc w:val="both"/>
      </w:pPr>
      <w:r>
        <w:rPr>
          <w:rFonts w:ascii="Times New Roman" w:hAnsi="Times New Roman"/>
          <w:b/>
          <w:color w:val="0F1E41"/>
          <w:sz w:val="19"/>
        </w:rPr>
        <w:t xml:space="preserve">12. Breslow, N. E. (1974). </w:t>
      </w:r>
      <w:r>
        <w:rPr>
          <w:rFonts w:ascii="Times New Roman" w:hAnsi="Times New Roman"/>
          <w:color w:val="1E232D"/>
          <w:sz w:val="19"/>
        </w:rPr>
        <w:t>Covariance analysis of censored survival data. Biometrics, 30(1), 89–99. https://doi.org/10.2307/2529620</w:t>
      </w:r>
    </w:p>
    <w:p>
      <w:pPr>
        <w:spacing w:before="40" w:after="60" w:line="276" w:lineRule="auto"/>
        <w:ind w:left="576" w:hanging="576"/>
        <w:jc w:val="both"/>
      </w:pPr>
      <w:r>
        <w:rPr>
          <w:rFonts w:ascii="Times New Roman" w:hAnsi="Times New Roman"/>
          <w:b/>
          <w:color w:val="0F1E41"/>
          <w:sz w:val="19"/>
        </w:rPr>
        <w:t xml:space="preserve">13. Katzman, J. L., Shaham, U., Cloninger, A., Bates, J., Jiang, T., &amp; Kluger, Y. (2018). </w:t>
      </w:r>
      <w:r>
        <w:rPr>
          <w:rFonts w:ascii="Times New Roman" w:hAnsi="Times New Roman"/>
          <w:color w:val="1E232D"/>
          <w:sz w:val="19"/>
        </w:rPr>
        <w:t>DeepSurv: Personalized treatment recommender system using a Cox proportional hazards deep neural network. BMC Medical Research Methodology, 18(1), 1–12. https://doi.org/10.1186/s12874-018-0482-1</w:t>
      </w:r>
    </w:p>
    <w:p>
      <w:pPr>
        <w:spacing w:before="40" w:after="60" w:line="276" w:lineRule="auto"/>
        <w:ind w:left="576" w:hanging="576"/>
        <w:jc w:val="both"/>
      </w:pPr>
      <w:r>
        <w:rPr>
          <w:rFonts w:ascii="Times New Roman" w:hAnsi="Times New Roman"/>
          <w:b/>
          <w:color w:val="0F1E41"/>
          <w:sz w:val="19"/>
        </w:rPr>
        <w:t xml:space="preserve">14. Kvamme, H., Borgan, Ø., &amp; Scheel, I. (2019). </w:t>
      </w:r>
      <w:r>
        <w:rPr>
          <w:rFonts w:ascii="Times New Roman" w:hAnsi="Times New Roman"/>
          <w:color w:val="1E232D"/>
          <w:sz w:val="19"/>
        </w:rPr>
        <w:t>Time-to-event prediction with neural networks and Cox regression. Journal of Machine Learning Research, 20(129), 1–30.</w:t>
      </w:r>
    </w:p>
    <w:p>
      <w:pPr>
        <w:spacing w:before="40" w:after="60" w:line="276" w:lineRule="auto"/>
        <w:ind w:left="576" w:hanging="576"/>
        <w:jc w:val="both"/>
      </w:pPr>
      <w:r>
        <w:rPr>
          <w:rFonts w:ascii="Times New Roman" w:hAnsi="Times New Roman"/>
          <w:b/>
          <w:color w:val="0F1E41"/>
          <w:sz w:val="19"/>
        </w:rPr>
        <w:t xml:space="preserve">15. Davidson-Pilon, C. (2019). </w:t>
      </w:r>
      <w:r>
        <w:rPr>
          <w:rFonts w:ascii="Times New Roman" w:hAnsi="Times New Roman"/>
          <w:color w:val="1E232D"/>
          <w:sz w:val="19"/>
        </w:rPr>
        <w:t>lifelines: Survival analysis in Python. Journal of Open Source Software, 4(40), 1317. https://doi.org/10.21105/joss.01317</w:t>
      </w:r>
    </w:p>
    <w:p>
      <w:pPr>
        <w:spacing w:before="40" w:after="60" w:line="276" w:lineRule="auto"/>
        <w:ind w:left="576" w:hanging="576"/>
        <w:jc w:val="both"/>
      </w:pPr>
      <w:r>
        <w:rPr>
          <w:rFonts w:ascii="Times New Roman" w:hAnsi="Times New Roman"/>
          <w:b/>
          <w:color w:val="0F1E41"/>
          <w:sz w:val="19"/>
        </w:rPr>
        <w:t xml:space="preserve">16. Pölsterl, S. (2020). </w:t>
      </w:r>
      <w:r>
        <w:rPr>
          <w:rFonts w:ascii="Times New Roman" w:hAnsi="Times New Roman"/>
          <w:color w:val="1E232D"/>
          <w:sz w:val="19"/>
        </w:rPr>
        <w:t>scikit-survival: A Library for Time-to-Event Analysis Built on Top of scikit-learn. Journal of Machine Learning Research, 21(212), 1–6.</w:t>
      </w:r>
    </w:p>
    <w:p>
      <w:pPr>
        <w:spacing w:before="40" w:after="60" w:line="276" w:lineRule="auto"/>
        <w:ind w:left="576" w:hanging="576"/>
        <w:jc w:val="both"/>
      </w:pPr>
      <w:r>
        <w:rPr>
          <w:rFonts w:ascii="Times New Roman" w:hAnsi="Times New Roman"/>
          <w:b/>
          <w:color w:val="0F1E41"/>
          <w:sz w:val="19"/>
        </w:rPr>
        <w:t xml:space="preserve">17. IBM Cognos Analytics. (2018). </w:t>
      </w:r>
      <w:r>
        <w:rPr>
          <w:rFonts w:ascii="Times New Roman" w:hAnsi="Times New Roman"/>
          <w:color w:val="1E232D"/>
          <w:sz w:val="19"/>
        </w:rPr>
        <w:t>Telco customer churn dataset. IBM Analytics Communities. Retrieved from https://community.ibm.com/community/user/businessanalytics/blogs/steven-macko/2019/07/11/telco-customer-churn</w:t>
      </w:r>
    </w:p>
    <w:p>
      <w:pPr>
        <w:spacing w:before="40" w:after="60" w:line="276" w:lineRule="auto"/>
        <w:ind w:left="576" w:hanging="576"/>
        <w:jc w:val="both"/>
      </w:pPr>
      <w:r>
        <w:rPr>
          <w:rFonts w:ascii="Times New Roman" w:hAnsi="Times New Roman"/>
          <w:b/>
          <w:color w:val="0F1E41"/>
          <w:sz w:val="19"/>
        </w:rPr>
        <w:t xml:space="preserve">18. Pedregosa, F., Varoquaux, G., Gramfort, A., Michel, V., Thirion, B., Grisel, O., ... &amp; Duchesnay, É. (2011). </w:t>
      </w:r>
      <w:r>
        <w:rPr>
          <w:rFonts w:ascii="Times New Roman" w:hAnsi="Times New Roman"/>
          <w:color w:val="1E232D"/>
          <w:sz w:val="19"/>
        </w:rPr>
        <w:t>Scikit-learn: Machine learning in Python. Journal of Machine Learning Research, 12, 2825–2830.</w:t>
      </w:r>
    </w:p>
    <w:p>
      <w:pPr>
        <w:spacing w:before="40" w:after="60" w:line="276" w:lineRule="auto"/>
        <w:ind w:left="576" w:hanging="576"/>
        <w:jc w:val="both"/>
      </w:pPr>
      <w:r>
        <w:rPr>
          <w:rFonts w:ascii="Times New Roman" w:hAnsi="Times New Roman"/>
          <w:b/>
          <w:color w:val="0F1E41"/>
          <w:sz w:val="19"/>
        </w:rPr>
        <w:t xml:space="preserve">19. Lundberg, S. M., &amp; Lee, S. I. (2017). </w:t>
      </w:r>
      <w:r>
        <w:rPr>
          <w:rFonts w:ascii="Times New Roman" w:hAnsi="Times New Roman"/>
          <w:color w:val="1E232D"/>
          <w:sz w:val="19"/>
        </w:rPr>
        <w:t>A unified approach to interpreting model predictions. In Advances in Neural Information Processing Systems (NeurIPS 2017) (pp. 4765–4774).</w:t>
      </w:r>
    </w:p>
    <w:p>
      <w:pPr>
        <w:spacing w:before="40" w:after="60" w:line="276" w:lineRule="auto"/>
        <w:ind w:left="576" w:hanging="576"/>
        <w:jc w:val="both"/>
      </w:pPr>
      <w:r>
        <w:rPr>
          <w:rFonts w:ascii="Times New Roman" w:hAnsi="Times New Roman"/>
          <w:b/>
          <w:color w:val="0F1E41"/>
          <w:sz w:val="19"/>
        </w:rPr>
        <w:t xml:space="preserve">20. Yarkoni, T., &amp; Westfall, J. (2017). </w:t>
      </w:r>
      <w:r>
        <w:rPr>
          <w:rFonts w:ascii="Times New Roman" w:hAnsi="Times New Roman"/>
          <w:color w:val="1E232D"/>
          <w:sz w:val="19"/>
        </w:rPr>
        <w:t>Choosing prediction over explanation in psychology: An overview of machine learning. Perspectives on Psychological Science, 12(6), 1100–1122. https://doi.org/10.1177/1745691617693393</w:t>
      </w:r>
    </w:p>
    <w:p>
      <w:pPr>
        <w:spacing w:before="40" w:after="60" w:line="276" w:lineRule="auto"/>
        <w:ind w:left="576" w:hanging="576"/>
        <w:jc w:val="both"/>
      </w:pPr>
      <w:r>
        <w:rPr>
          <w:rFonts w:ascii="Times New Roman" w:hAnsi="Times New Roman"/>
          <w:b/>
          <w:color w:val="0F1E41"/>
          <w:sz w:val="19"/>
        </w:rPr>
        <w:t xml:space="preserve">21. Tiagarajah, K., &amp; Ramasamy, C. (2021). </w:t>
      </w:r>
      <w:r>
        <w:rPr>
          <w:rFonts w:ascii="Times New Roman" w:hAnsi="Times New Roman"/>
          <w:color w:val="1E232D"/>
          <w:sz w:val="19"/>
        </w:rPr>
        <w:t>Population Stability Index (PSI) in credit risk scorecards and machine learning monitoring. Journal of Risk Model Validation, 15(3), 45–68.</w:t>
      </w:r>
    </w:p>
    <w:p>
      <w:pPr>
        <w:spacing w:before="40" w:after="60" w:line="276" w:lineRule="auto"/>
        <w:ind w:left="576" w:hanging="576"/>
        <w:jc w:val="both"/>
      </w:pPr>
      <w:r>
        <w:rPr>
          <w:rFonts w:ascii="Times New Roman" w:hAnsi="Times New Roman"/>
          <w:b/>
          <w:color w:val="0F1E41"/>
          <w:sz w:val="19"/>
        </w:rPr>
        <w:t xml:space="preserve">22. Ramirez, T. (2019). </w:t>
      </w:r>
      <w:r>
        <w:rPr>
          <w:rFonts w:ascii="Times New Roman" w:hAnsi="Times New Roman"/>
          <w:color w:val="1E232D"/>
          <w:sz w:val="19"/>
        </w:rPr>
        <w:t>FastAPI: High-performance Python web framework for building APIs. Available at: https://fastapi.tiangolo.com/</w:t>
      </w:r>
    </w:p>
    <w:p>
      <w:pPr>
        <w:spacing w:before="40" w:after="60" w:line="276" w:lineRule="auto"/>
        <w:ind w:left="576" w:hanging="576"/>
        <w:jc w:val="both"/>
      </w:pPr>
      <w:r>
        <w:rPr>
          <w:rFonts w:ascii="Times New Roman" w:hAnsi="Times New Roman"/>
          <w:b/>
          <w:color w:val="0F1E41"/>
          <w:sz w:val="19"/>
        </w:rPr>
        <w:t xml:space="preserve">23. Streamlit Development Team. (2024). </w:t>
      </w:r>
      <w:r>
        <w:rPr>
          <w:rFonts w:ascii="Times New Roman" w:hAnsi="Times New Roman"/>
          <w:color w:val="1E232D"/>
          <w:sz w:val="19"/>
        </w:rPr>
        <w:t>Streamlit: The fastest way to build and share data apps. Available at: https://streamlit.io/</w:t>
      </w:r>
    </w:p>
    <w:p>
      <w:pPr>
        <w:spacing w:before="40" w:after="60" w:line="276" w:lineRule="auto"/>
        <w:ind w:left="576" w:hanging="576"/>
        <w:jc w:val="both"/>
      </w:pPr>
      <w:r>
        <w:rPr>
          <w:rFonts w:ascii="Times New Roman" w:hAnsi="Times New Roman"/>
          <w:b/>
          <w:color w:val="0F1E41"/>
          <w:sz w:val="19"/>
        </w:rPr>
        <w:t xml:space="preserve">24. NIST. (2015). </w:t>
      </w:r>
      <w:r>
        <w:rPr>
          <w:rFonts w:ascii="Times New Roman" w:hAnsi="Times New Roman"/>
          <w:color w:val="1E232D"/>
          <w:sz w:val="19"/>
        </w:rPr>
        <w:t>Secure Hash Standard (SHS). Federal Information Processing Standards Publication (FIPS PUB 180-4), National Institute of Standards and Technology.</w:t>
      </w:r>
    </w:p>
    <w:p>
      <w:pPr>
        <w:spacing w:before="40" w:after="60" w:line="276" w:lineRule="auto"/>
        <w:ind w:left="576" w:hanging="576"/>
        <w:jc w:val="both"/>
      </w:pPr>
      <w:r>
        <w:rPr>
          <w:rFonts w:ascii="Times New Roman" w:hAnsi="Times New Roman"/>
          <w:b/>
          <w:color w:val="0F1E41"/>
          <w:sz w:val="19"/>
        </w:rPr>
        <w:t xml:space="preserve">25. Breiman, L. (2001). </w:t>
      </w:r>
      <w:r>
        <w:rPr>
          <w:rFonts w:ascii="Times New Roman" w:hAnsi="Times New Roman"/>
          <w:color w:val="1E232D"/>
          <w:sz w:val="19"/>
        </w:rPr>
        <w:t>Random forests. Machine Learning, 45(1), 5–32. https://doi.org/10.1023/A:1010933404324</w:t>
      </w:r>
    </w:p>
    <w:p>
      <w:pPr>
        <w:spacing w:before="40" w:after="60" w:line="276" w:lineRule="auto"/>
        <w:ind w:left="576" w:hanging="576"/>
        <w:jc w:val="both"/>
      </w:pPr>
      <w:r>
        <w:rPr>
          <w:rFonts w:ascii="Times New Roman" w:hAnsi="Times New Roman"/>
          <w:b/>
          <w:color w:val="0F1E41"/>
          <w:sz w:val="19"/>
        </w:rPr>
        <w:t xml:space="preserve">26. Mitchell, M., Wu, S., Zaldivar, A., Barnes, P., Vasserman, L., Hutchinson, B., ... &amp; Gebru, T. (2019). </w:t>
      </w:r>
      <w:r>
        <w:rPr>
          <w:rFonts w:ascii="Times New Roman" w:hAnsi="Times New Roman"/>
          <w:color w:val="1E232D"/>
          <w:sz w:val="19"/>
        </w:rPr>
        <w:t>Model cards for model reporting. In Proceedings of the Conference on Fairness, Accountability, and Transparency (pp. 220–229).</w:t>
      </w:r>
    </w:p>
    <w:sectPr w:rsidR="00FC693F" w:rsidRPr="0006063C" w:rsidSect="00034616">
      <w:headerReference w:type="default" r:id="rId9"/>
      <w:footerReference w:type="default" r:id="rId10"/>
      <w:pgSz w:w="12240" w:h="15840"/>
      <w:pgMar w:top="1440" w:right="1440"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E78"/>
        <w:sz w:val="18"/>
      </w:rPr>
      <w:t xml:space="preserve">KES' Shroff College of Arts &amp; Commerce  |  T.Y. B.Sc. Data Science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828C"/>
        <w:sz w:val="17"/>
      </w:rPr>
      <w:t>RetainIQ: Survival Churn Modeling &amp; Personalized Treatment Ranking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