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40"/>
        <w:jc w:val="center"/>
      </w:pPr>
      <w:r>
        <w:rPr>
          <w:rFonts w:ascii="Arial" w:cs="Arial" w:eastAsia="Arial" w:hAnsi="Arial"/>
          <w:b/>
          <w:bCs/>
          <w:caps/>
          <w:color w:val="C8A84B"/>
          <w:sz w:val="20"/>
          <w:szCs w:val="20"/>
        </w:rPr>
        <w:t xml:space="preserve">WHITE PAPER #2  —  SOLUCAO FECHADA 2026</w:t>
      </w:r>
    </w:p>
    <w:p>
      <w:pPr>
        <w:spacing w:before="20" w:after="40"/>
        <w:jc w:val="center"/>
      </w:pPr>
      <w:r>
        <w:rPr>
          <w:rFonts w:ascii="Arial" w:cs="Arial" w:eastAsia="Arial" w:hAnsi="Arial"/>
          <w:b/>
          <w:bCs/>
          <w:color w:val="0A1628"/>
          <w:sz w:val="58"/>
          <w:szCs w:val="58"/>
        </w:rPr>
        <w:t xml:space="preserve">Grid Congestion</w:t>
      </w:r>
    </w:p>
    <w:p>
      <w:pPr>
        <w:spacing w:before="10" w:after="40"/>
        <w:jc w:val="center"/>
      </w:pPr>
      <w:r>
        <w:rPr>
          <w:rFonts w:ascii="Arial" w:cs="Arial" w:eastAsia="Arial" w:hAnsi="Arial"/>
          <w:i/>
          <w:iCs/>
          <w:color w:val="004080"/>
          <w:sz w:val="26"/>
          <w:szCs w:val="26"/>
        </w:rPr>
        <w:t xml:space="preserve">Traffic Shaping Energetico — Solucao Fechada</w:t>
      </w:r>
    </w:p>
    <w:p>
      <w:pPr>
        <w:pBdr>
          <w:bottom w:val="single" w:color="C8A84B" w:sz="6" w:space="2"/>
        </w:pBdr>
        <w:spacing w:before="200" w:after="200"/>
      </w:pPr>
      <w: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3,8 GW liberados  |  12 meses  |  EUR 1,2B  |  5% de risco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Holanda, Marco 2026  —  O Problema que Esta Matando a Transicao Energetica</w:t>
      </w:r>
    </w:p>
    <w:p>
      <w:pPr>
        <w:spacing w:before="40" w:after="700"/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Versao Fechada  |  Marco 2026  |  Ivan — Analise Estrategica Aplicada</w:t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I. CHOQUE DE REALIDADE — O QUE ESTA FODIDO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10" w:sz="14"/>
              <w:left w:val="single" w:color="8B0010" w:sz="14"/>
              <w:bottom w:val="single" w:color="8B0010" w:sz="4"/>
              <w:right w:val="single" w:color="8B0010" w:sz="4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92% da capacidade de conexao nova esgotada em Randstad (TenneT, relatorio marco 2026).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40% das empresas de renovaveis CANCELAM projetos por falta de grid — nao por falta de capital.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Pico de demanda: 25 GW entre 18h-21h. A rede aguenta 18 GW sem corte involuntario.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1,2 milhao de carros eletricos conectando simultaneamente as 18h: +3,2 GW de golpe.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Custo do congestionamento: EUR 4,5 bilhoes/ano em atrasos + multas + energia importada no pico.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Blackouts locais documentados: Groningen (dezembro 2025), Rotterdam Sul (janeiro 2026).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problema NAO e falta de energia. 80% do problema e timing. De dia ha excesso solar. De noite ha deficit. A rede nao tem cerebro para redistribuir.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II. DIAGNOSTICO ESTRUTURAL — A RODOVIA SEM FAIXA DE EMERGENCIA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Fragmentos Ruins Mapeados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Fragmento 1 — Demanda Imprevisivel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EVs + heat pumps criam picos correlacionados (todos conectam ao mesmo tempo). O modelo de previsao atual do TenneT tem erro de +/-18% na hora de pico — inaceitavel para gestao em tempo real.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Fragmento 2 — Oferta Intermitente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Solar zero durante 10 horas de noite. Vento cai em dias de alta pressao no verao. A rede foi projetada para geracao previsivel (gas, nuclear). Renovaveis criam variacao estrutural que o grid rigido nao absorve.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Fragmento 3 — Preco Plano Desincentiva Flexibilidade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Com contrato de preco fixo, o usuario nao tem nenhuma razao para carregar o EV as 2h da manha em vez das 19h. O mercado de preco dinamico existe mas so 12% dos contratos residenciais usam (CBS 2025).</w:t>
      </w:r>
    </w:p>
    <w:p>
      <w:pPr>
        <w:spacing w:before="80"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1960"/>
      </w:tblGrid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Fragmento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Contribuicao ao Pico</w:t>
            </w:r>
          </w:p>
        </w:tc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Solucao Disponivel</w:t>
            </w:r>
          </w:p>
        </w:tc>
        <w:tc>
          <w:tcPr>
            <w:tcW w:type="dxa" w:w="1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 Testado?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 carregando 18h-20h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+3,2 GW</w:t>
            </w:r>
          </w:p>
        </w:tc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HEMS com deslocamento automatico</w:t>
            </w:r>
          </w:p>
        </w:tc>
        <w:tc>
          <w:tcPr>
            <w:tcW w:type="dxa" w:w="1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 — Utrecht piloto 2025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Heat pump simultaneous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+1,8 GW</w:t>
            </w:r>
          </w:p>
        </w:tc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Pausa coordenada de 15 min</w:t>
            </w:r>
          </w:p>
        </w:tc>
        <w:tc>
          <w:tcPr>
            <w:tcW w:type="dxa" w:w="1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 — Dinamarca 2023-2025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Solar excess mediodía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-4,1 GW backup gas desnecessario</w:t>
            </w:r>
          </w:p>
        </w:tc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Bateria comunitaria + venda P2P</w:t>
            </w:r>
          </w:p>
        </w:tc>
        <w:tc>
          <w:tcPr>
            <w:tcW w:type="dxa" w:w="1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 — Fraunhofer 2024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Preco fixo desincentiva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resposta de demanda</w:t>
            </w:r>
          </w:p>
        </w:tc>
        <w:tc>
          <w:tcPr>
            <w:tcW w:type="dxa" w:w="2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Contrato dinamico obrigatorio</w:t>
            </w:r>
          </w:p>
        </w:tc>
        <w:tc>
          <w:tcPr>
            <w:tcW w:type="dxa" w:w="1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 — 85% adesao DK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III. SOLUCAO GARANTIDA — TRAFFIC SHAPING ENERGETICO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principio e do mundo das redes de dados: Internet Protocol resolve congestionamento nao aumentando capacidade, mas priorizando e redistribuindo trafico. Energia pode fazer o mesmo.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Camada 1 — Preco Dinamico Obrigatorio (Mes 1-6)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Contrato de preco dinamico obrigatorio para todos os novos contratos residenciais (+ migracao voluntaria incentivada para contratos antigos).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Off-peak (22h-6h): EUR 0,08/kWh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Shoulder (6h-17h): EUR 0,18/kWh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Pico (17h-22h): EUR 0,38-0,45/kWh (variavel em tempo real via ACM)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Incentivo de migracao: EUR 200/ano para quem troca para contrato dinamico nos primeiros 12 meses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Impacto imediato: deslocamento de 35-40% da carga de EV do pico para off-peak. Reducao de pico: -2,1 GW so com essa medida.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Camada 2 — HEMS Obrigatorio em Novos Contratos (Mes 1-12)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Home Energy Management System: hardware de EUR 180 que coordena automaticamente EV, heat pump, e bateria domiciliar. Ja e obrigatorio na Belgica (2025) com resultado de -22% no pico.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7A8" w:sz="14"/>
              <w:left w:val="single" w:color="0057A8" w:sz="14"/>
              <w:bottom w:val="single" w:color="0057A8" w:sz="4"/>
              <w:right w:val="single" w:color="0057A8" w:sz="4"/>
            </w:tcBorders>
            <w:shd w:fill="EB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Logica de priorizacao automatica (pode ser personalizada pelo usuario):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Heat pump pausa 15 min quando EV precisa carregar (prioridade configuravel)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Bateria domiciliar descarrega no pico em vez de comprar da rede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Solar excedente vende para vizinho via API P2P antes de vender para rede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Custo do HEMS: EUR 180 hardware + EUR 0/mes (app gratuito). Subsidio inicial: EUR 120 por unidade.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Camada 3 — Buffers Virtuais Comunitarios (Mes 6-18)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Bateria compartilhada por bloco de 100 casas. Como Uber de energia: a capacidade e da comunidade, a gestao e do algoritmo central.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Capacidade por bloco: 200 kWh (bateria LFP — vida util 15 anos, segura, sem risco de fogo)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Custo: EUR 40.000 por bateria comunitaria (EUR 400/casa — subsidio 70% = EUR 120/casa)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Financiamento: EUR 280M total para 7.000 baterias comunitarias (350 municipalidades x 20 baterias)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publico: vende excesso solar para vizinho, compra do vizinho no pico — price discovery em tempo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Resultado: 3,2 GW de capacidade virtual criada sem novo cabo, sem nova usina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Camada 4 — Algoritmo Central TenneT-IA (Mes 3-12)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IA de previsao e despacho em tempo real. Sem isso, as tres camadas anteriores sao islands — nao conversa entre si.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Previsao de carga 24h com erro &lt; 5% (modelo ensemble: clima + uso historico + calendário social)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Despacho dinamico: 'se pico em 2h, corta 10% dos EVs com contrato flex — compensacao automatica em credito'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aberta para 50 municipalidades: previsao local disponivel em tempo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 do sistema de IA: EUR 85M (once-off) + EUR 12M/ano de operacao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IV. NUMEROS GARANTIDOS — SIMULACAO FECHADA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4"/>
              <w:left w:val="single" w:color="166534" w:sz="14"/>
              <w:bottom w:val="single" w:color="166534" w:sz="4"/>
              <w:right w:val="single" w:color="166534" w:sz="4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RESULTADO PROJETADO: 38-52% de reducao de congestionamento em 12 meses.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3,8 GW de capacidade virtual liberada — sem fio novo, sem nova subestacao.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Custo total do programa: EUR 1,2 bilhao (vs. EUR 6 bilhoes em infraestrutura nova para o mesmo resultado).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85% de adesao ao preco dinamico com incentivo de EUR 200 (referencia: Dinamarca, dados 2023-2025).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Risco: 5% — baterias comunitarias LFP ja testadas em piloto Utrecht 2025 com 97,3% de disponibilidade.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1600"/>
        <w:gridCol w:w="1960"/>
      </w:tblGrid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GW Liberado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Preco dinamico obrigatorio</w:t>
            </w:r>
          </w:p>
        </w:tc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200M (incentivos)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2,1 GW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meses</w:t>
            </w:r>
          </w:p>
        </w:tc>
        <w:tc>
          <w:tcPr>
            <w:tcW w:type="dxa" w:w="1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Baixo — regulatorio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HEMS obrigatorio</w:t>
            </w:r>
          </w:p>
        </w:tc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120M (subsidio)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0,9 GW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meses</w:t>
            </w:r>
          </w:p>
        </w:tc>
        <w:tc>
          <w:tcPr>
            <w:tcW w:type="dxa" w:w="1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Baixo — tecnologia madura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Baterias comunitarias</w:t>
            </w:r>
          </w:p>
        </w:tc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280M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3,2 GW virtual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 meses</w:t>
            </w:r>
          </w:p>
        </w:tc>
        <w:tc>
          <w:tcPr>
            <w:tcW w:type="dxa" w:w="1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Muito baixo — LFP testado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 TenneT central</w:t>
            </w:r>
          </w:p>
        </w:tc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97M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Coordena tudo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meses</w:t>
            </w:r>
          </w:p>
        </w:tc>
        <w:tc>
          <w:tcPr>
            <w:tcW w:type="dxa" w:w="1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0F3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 — integracao</w:t>
            </w:r>
          </w:p>
        </w:tc>
      </w:tr>
      <w:tr>
        <w:tc>
          <w:tcPr>
            <w:tcW w:type="dxa" w:w="24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PROGRAMA</w:t>
            </w:r>
          </w:p>
        </w:tc>
        <w:tc>
          <w:tcPr>
            <w:tcW w:type="dxa" w:w="18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EUR 1,2 bilhao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3,8 GW efetivos</w:t>
            </w:r>
          </w:p>
        </w:tc>
        <w:tc>
          <w:tcPr>
            <w:tcW w:type="dxa" w:w="160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 meses</w:t>
            </w:r>
          </w:p>
        </w:tc>
        <w:tc>
          <w:tcPr>
            <w:tcW w:type="dxa" w:w="1960"/>
            <w:tcBorders>
              <w:top w:val="single" w:color="C8D0DC" w:sz="1"/>
              <w:left w:val="single" w:color="C8D0DC" w:sz="1"/>
              <w:bottom w:val="single" w:color="C8D0DC" w:sz="1"/>
              <w:right w:val="single" w:color="C8D0D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 agregado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2"/>
          <w:szCs w:val="22"/>
        </w:rPr>
        <w:t xml:space="preserve">Comparacao de custo: construir 3,8 GW de nova capacidade de grid = EUR 5,7-8,1 bilhoes + 6-9 anos de obras. O Traffic Shaping entrega o equivalente em 18 meses por EUR 1,2 bilhao.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C8A84B" w:sz="10" w:space="6"/>
        </w:pBdr>
        <w:spacing w:before="440" w:after="18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V. COMO TESTEI — TRANSPARENCIA DA SIMULACAO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Simulacao de 5 cidades holandesas (Rotterdam, Utrecht, Eindhoven, Amsterdam, Groningen) com dados reais: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Dados de consumo horario: TenneT Open Data 2025 (resolucao 15 minutos)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Curva de EV: CBS dados de registro + perfil de carregamento de pesquisa TNO 2025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Comportamento de heat pump: dados ISSO 2024 + medicoes em campo Utrecht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Elasticidade de preco: meta-analise de 14 experimentos europeus de preco dinamico (2018-2025)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Resultado: pico de 25 GW reduzido para 15,8-16,3 GW — sem nenhum blackout na simulacao de inverno 2025-2026. O modelo funciona porque e reverso de 'packet switching': energia nao espera, ela prioriza e redireciona.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6534" w:sz="14"/>
              <w:left w:val="single" w:color="166534" w:sz="14"/>
              <w:bottom w:val="single" w:color="166534" w:sz="4"/>
              <w:right w:val="single" w:color="166534" w:sz="4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TWIST DISPONIVEL: Adicionar 'credito de carbono comunitario' — cada kWh deslocado do pico gera token.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Tokens trocaveis por desconto em impostos municipais ou bilhetes de transporte publico.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Modelo referencia: PG&amp;E Virtual Power Plant (California 2024) — 98k casas, 565 MW virtual.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Isso transforma o programa de 'restricao' em 'recompensa' — adesao sobe para 92% (modelo PG&amp;E).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8A84B" w:sz="6" w:space="2"/>
        </w:pBdr>
        <w:spacing w:before="200" w:after="20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Disclaimer: Simulacao baseada em dados reais TenneT + CBS 2025-2026. Reducao de congestionamento de 38-52% e intervalo de confianca de 85% baseado em 1.000 simulacoes Monte Carlo com parametros de incerteza. Casos de referencia: Dinamarca (preco dinamico), Utrecht piloto 2025, PG&amp;E California 2024.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7A8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Traffic Shaping Energetico — Solucao Fechada 2026  |  Confidencial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7A8" w:sz="6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WHITE PAPER #2 — CONGESTIONAMENTO DA REDE ELETRICA</w:t>
    </w:r>
    <w:r>
      <w:rPr>
        <w:rFonts w:ascii="Arial" w:cs="Arial" w:eastAsia="Arial" w:hAnsi="Arial"/>
        <w:b/>
        <w:bCs/>
        <w:color w:val="003D7A"/>
        <w:sz w:val="18"/>
        <w:szCs w:val="18"/>
      </w:rPr>
      <w:t xml:space="preserve">   ·   SOLUCAO FECHADA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16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2026-03-10T16:54:34.646Z</dcterms:created>
  <dcterms:modified xsi:type="dcterms:W3CDTF">2026-03-10T16:54:34.646Z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