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1"/>
          <w:bCs w:val="1"/>
          <w:i w:val="0"/>
          <w:iCs w:val="0"/>
          <w:smallCaps w:val="0"/>
          <w:strike w:val="0"/>
          <w:color w:val="000000"/>
          <w:sz w:val="24"/>
          <w:szCs w:val="24"/>
          <w:u w:val="none"/>
          <w:shd w:fill="auto" w:val="clear"/>
          <w:vertAlign w:val="baseline"/>
        </w:rPr>
      </w:pPr>
      <w:bookmarkStart w:colFirst="0" w:colLast="0" w:name="_heading=h.7083oag51zz6" w:id="0"/>
      <w:bookmarkEnd w:id="0"/>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Por la cual se inscribe en el Registro de Comunidades Indígenas la Comunidad Indígena Murui Muina, perteneciente a los pueblos indígenas Murui Muina, con unidades familiares en el municipio de La Montañita, en el departamento de Caquetá.</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3"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3" w:firstLine="0"/>
        <w:jc w:val="center"/>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LA DIRECTORA DE ASUNTOS INDÍGENAS, ROM Y MINORÍAS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3" w:firstLine="0"/>
        <w:jc w:val="center"/>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DEL MINISTERIO DEL INTERIOR</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3"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3"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En uso de sus atribuciones constitucionales, legales y reglamentarias, en particular las conferidas por el artículo 13 del Decreto Ley 2893 de 2011, modificado por los Decretos 2340 de 2015, 2353 de 2019, 714 de 2024 y 0613 de 2025 y demás normas pertinentes, 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3"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3" w:firstLine="0"/>
        <w:jc w:val="center"/>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CONSIDERANDO: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93"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Que de conformidad con lo dispuesto en el artículo 7° de la Constitución Política, el Estado colombiano reconoce y ampara la diversidad étnica y cultural de la nación, lo cual fundamenta la cosmovisión propia y la interpretación del mundo de los pueblos indígenas.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Que la Constitución ha otorgado un conjunto de derechos específicos a los pueblos indígenas, incluyendo: el reconocimiento explícito de su identidad diferenciada como pueblos dentro de la nación; el reconocimiento legítimo y vinculante de sus sistemas jurídicos; la protección de sus tierras colectivas contra la venta, repartición o confiscación; el derecho a una educación bilingüe; y el reconocimiento oficial de sus lenguas indígenas, entre otros.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Que el Convenio 169 de 1989 de la Organización Internacional del Trabajo (OIT), ratificado por Colombia mediante la Ley 21 de 1991, impone a los Estados miembros la obligación de atender integralmente los requerimientos de los pueblos de origen amerindio. En su contenido, se establece el deber de los Estados de implementar políticas dirigidas al reconocimiento de la autonomía, cultura, usos, costumbres y derecho consuetudinario de los pueblos indígenas.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Que el artículo 2° de la Ley 21 de 1991, en su inciso 2°, literal b), establece que el gobierno deberá promover la plena efectividad de los derechos sociales, económicos y culturales de esos pueblos, respetando su identidad social y cultural, sus costumbres, tradiciones y sus instituciones.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Que el Decreto 1071 de 2015, que compila el Decreto 2164 de 1995, en su artículo 2.14.7.1.2, define: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COMUNIDAD O PARCIALIDAD INDIGENA. Es el grupo o conjunto de familias de ascendencia amerindia, que tienen conciencia de identidad y comparten valores, rasgos, usos o costumbres de su cultura, así como formas de gobierno, gestión, control social o sistemas normativos propios que la distinguen de otras comunidades, tengan o no títulos de propiedad, o que puedan acreditarlos legalmente, o que sus resguardos fueron disueltos, divididos o declarados vacantes</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Que de acuerdo con los numerales 6, 10 y 15 del artículo 13 del Decreto Ley 2893 de 2011, modificado por los Decretos 2340 de 2015, 2353 de 2019 y 714 de 2024, la competencia de la Dirección de Asuntos Indígenas, Rom y Minorías es: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 Llevar el registro de los censos de población de comunidades indígenas y de los resguardos indígenas y las comunidades reconocidas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 Promover acciones con enfoque diferencial, orientadas a atender la concertación, diálogo político, coordinación interinstitucional, participación, representación política y registro de la población indígena y Rom, y la formulación de acciones conjuntas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 atender las peticiones y consultas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Que, en consonancia con lo anterior, la Dirección de Asuntos Indígenas, Rom y Minorías del Ministerio del Interior es la institución competente para realizar el trámite administrativo de registro de comunidades indígenas por fuera de área resguardada. Para ello, y en los términos de la Resolución No. 2434 de 05 de diciembre de 2011, modificada por la Resolución No. 2186 del 17 de diciembre de 2021, esta dependencia se encarga de: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Verdana" w:cs="Verdana" w:eastAsia="Verdana" w:hAnsi="Verdana"/>
          <w:b w:val="0"/>
          <w:bCs w:val="0"/>
          <w:i w:val="1"/>
          <w:iCs w:val="1"/>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1"/>
          <w:iCs w:val="1"/>
          <w:smallCaps w:val="0"/>
          <w:strike w:val="0"/>
          <w:color w:val="000000"/>
          <w:sz w:val="24"/>
          <w:szCs w:val="24"/>
          <w:u w:val="none"/>
          <w:shd w:fill="auto" w:val="clear"/>
          <w:vertAlign w:val="baseline"/>
          <w:rtl w:val="0"/>
        </w:rPr>
        <w:t xml:space="preserve">“Adelantar estudios etnológicos a fin de establecer si los grupos que se reivindican como indígenas constituyen una comunidad o parcialidad indígena y preparar los respectivos conceptos, emitiendo los actos administrativos respectivos”.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Que para atender las solicitudes de registro de los colectivos que se reivindican como comunidades indígenas en todo el territorio nacional la Dirección de Asuntos Indígenas, Rom y Minorías del Ministerio del Interior ha acogido como procedimiento la aplicación de un estudio etnológico en campo, de acuerdo con el protocolo institucional desarrollado para tal fin. El estudio etnológico busca dar cuenta de la realidad social de los colectivos que se reivindican como comunidades indígenas, caracterizando etnográficamente su organización interna a partir de la convivencia y explorando sus relaciones externas mediante la interacción con representantes de comunidades indígenas y no indígenas que actúen en la zona, así como de organizaciones indígenas y entidades territoriales que tengan cobertura en la misma área.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Que, aunque en la normativa nacional no se especifica de manera precisa que entre las atribuciones de la Dirección de Asuntos Indígenas, Rom y Minorías se encuentre la realización de estudios etnológicos para el registro de comunidades indígenas, resulta claro que dicho tipo de investigaciones, caracterizadas por su enfoque detallado y sistemático sobre las particularidades culturales, sociales y políticas de estos pueblos, se vincula directamente con el objeto y funciones propias de la Dirección.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Que como resultado de la solicitud elevada por el colectivo “Comunidad indígena Murui Muina”, la Dirección de Asuntos Indígenas, Rom y Minorías programó visita en campo entre el 15 de marzo y el 16 de marzo de 2026. Producto de esta, y de la información remitida por el colectivo previamente, resultó el documento denominado </w:t>
      </w: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w:t>
      </w:r>
      <w:r w:rsidDel="00000000" w:rsidR="00000000" w:rsidRPr="00000000">
        <w:rPr>
          <w:rFonts w:ascii="Verdana" w:cs="Verdana" w:eastAsia="Verdana" w:hAnsi="Verdana"/>
          <w:b w:val="1"/>
          <w:bCs w:val="1"/>
          <w:sz w:val="24"/>
          <w:szCs w:val="24"/>
          <w:rtl w:val="0"/>
        </w:rPr>
        <w:t xml:space="preserve">Estudio Etnológico Comunidad Indígena Murui Muina</w:t>
      </w: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Que para la elaboración del documento “</w:t>
      </w: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Estudio Etnológico </w:t>
      </w:r>
      <w:r w:rsidDel="00000000" w:rsidR="00000000" w:rsidRPr="00000000">
        <w:rPr>
          <w:rFonts w:ascii="Verdana" w:cs="Verdana" w:eastAsia="Verdana" w:hAnsi="Verdana"/>
          <w:b w:val="1"/>
          <w:bCs w:val="1"/>
          <w:sz w:val="24"/>
          <w:szCs w:val="24"/>
          <w:rtl w:val="0"/>
        </w:rPr>
        <w:t xml:space="preserve">Comunidad</w:t>
      </w: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 Indígena Murui Muina”</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se llevó a cabo una Investigación de Acción Participativa. Este enfoque metodológico incluyó la realización de talleres etnográficos, entrevistas semiestructuradas, observaciones etnográficas, revisiones documentales, así como jornadas de interacción con la comunidad; las cuales facilitaron un acercamiento detallado a la estructura sociopolítica, las relaciones internas de autoridad, el grado de cohesión y convivencia comunitaria, la participación en eventos y actividades colectivas, la gestión compartida de recursos y la determinación precisa del tamaño de la comunidad solicitante.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bookmarkStart w:colFirst="0" w:colLast="0" w:name="_heading=h.qf3a8sgbsvfg" w:id="1"/>
      <w:bookmarkEnd w:id="1"/>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Que el documento denominado “</w:t>
      </w: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Estudio Etnológico </w:t>
      </w:r>
      <w:r w:rsidDel="00000000" w:rsidR="00000000" w:rsidRPr="00000000">
        <w:rPr>
          <w:rFonts w:ascii="Verdana" w:cs="Verdana" w:eastAsia="Verdana" w:hAnsi="Verdana"/>
          <w:b w:val="1"/>
          <w:bCs w:val="1"/>
          <w:sz w:val="24"/>
          <w:szCs w:val="24"/>
          <w:rtl w:val="0"/>
        </w:rPr>
        <w:t xml:space="preserve">Comunidad</w:t>
      </w: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 Indígena Murui Muina”</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establece que la Comunidad Indígena Murui Muina puede ser considerada una comunidad indígena por varios motivos: </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Cohesión de grupo:</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La cohesión de la Comunidad Indígena Murui Muina se fundamenta en un sistema de justicia distributiva y reciprocidad obligatoria que vincula a sus miembros a pesar de la dispersión geográfica. Para asegurar la permanencia del tejido social, el Reglamento Interno estipula mecanismos de control social y sanciones económicas por inasistencia a las jornadas de trabajo comunitario. El mambeadero actúa como el espacio primordial de estabilidad donde se resuelven las tensiones internas y se gestionan los conflictos a través de la palabra.</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Cosmovisión:</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Como "Gente de Centro" originaria del Amazonas, la cosmovisión de la Comunidad Indígena Murui Muina se rige por una ley de origen que los define como hijos del tabaco, la coca y la yuca dulce, elementos considerados tecnologías espirituales. La yuca dulce cumple una función ontológica de pacificación para "enfriar" el corazón, mientras que el mambeadero es el recinto sagrado destinado para limpiar el pensamiento y asegurar la continuidad del grupo. Esta visión del mundo integra un pacto de hermandad con el pueblo Coreguaje para priorizar la protección de la vida y el intercambio de conocimientos.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Sistema normativo propio:</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El sistema normativo de la Comunidad Indígena Murui Muina se organiza bajo una estructura de funciones complementarias donde el Cacique ejerce una función ontológica de acogida y la Gobernadora lidera la gestión externa ante las instituciones. Un componente vital es la figura de la Abuela Concejera, cuya autoridad moral actúa como contrapeso para vigilar que los directivos no se desvíen de la ley de origen. Este modelo de autogobierno se rige por un Reglamento Interno de Usos y Costumbres enfocado específicamente en el "cuido de la humanidad" y el mantenimiento del orden comunitario.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Que el documento denominado “</w:t>
      </w: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Estudio Etnológico </w:t>
      </w:r>
      <w:r w:rsidDel="00000000" w:rsidR="00000000" w:rsidRPr="00000000">
        <w:rPr>
          <w:rFonts w:ascii="Verdana" w:cs="Verdana" w:eastAsia="Verdana" w:hAnsi="Verdana"/>
          <w:b w:val="1"/>
          <w:bCs w:val="1"/>
          <w:sz w:val="24"/>
          <w:szCs w:val="24"/>
          <w:rtl w:val="0"/>
        </w:rPr>
        <w:t xml:space="preserve">Comunidad</w:t>
      </w: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 Indígena Murui Muina”</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concluye que la comunidad en mención cumple con los criterios para ser considerada una comunidad indígena según el Decreto 1071 de 2015, ya que mantiene una conciencia de identidad indígena, prácticas culturales distintivas y un sistema de gobierno propio, y recomienda a la Dirección de Asuntos Indígenas, Rom y Minorías del Ministerio del Interior que tenga en cuenta las observaciones y conclusiones expuestas en el concepto, con el fin de tomar una decisión sobre su inscripción en el registro institucional de comunidades indígenas; medida que busca promover la garantía de sus derechos diferenciales, cumpliendo así con el deber de salvaguardar la diversidad étnica y cultural de la nación.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Que es necesario señalar que el procedimiento llevado a cabo para determinar si este grupo constituye una parcialidad o comunidad indígena no establece la legalidad de los territorios que ocupan.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Que, por lo expuesto anteriormente, la Directora de Asuntos Indígenas, Rom y Minorías del Ministerio del Interior,</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RESUELVE</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ARTÍCULO PRIMERO.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Inscríbase en el Registro de Comunidades Indígenas a la </w:t>
      </w: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Comunidad Indígena Murui Muina</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perteneciente al pueblo indígena Murui Muina, con unidades familiares en el municipio de La Montañita, en el departamento de Caquetá; la cual está conformada por (3</w:t>
      </w:r>
      <w:r w:rsidDel="00000000" w:rsidR="00000000" w:rsidRPr="00000000">
        <w:rPr>
          <w:rFonts w:ascii="Verdana" w:cs="Verdana" w:eastAsia="Verdana" w:hAnsi="Verdana"/>
          <w:sz w:val="24"/>
          <w:szCs w:val="24"/>
          <w:rtl w:val="0"/>
        </w:rPr>
        <w:t xml:space="preserve">1</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personas agrupadas en (14) familias, según censo poblacional que deberá ser actualizado anualmente de conformidad con el numeral 1° del artículo 7° de la Ley 89 de 1890.</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PARÁGRAFO.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El registro como comunidad indígena que se concede mediante el presente acto administrativo se otorga dentro del ámbito de competencias de esta Dirección. En consecuencia, en caso de que se extingan alguno de los requisitos fácticos o jurídicos que sustentaron el otorgamiento del registro, esta dependencia procederá a realizar la verificación correspondiente para determinar la procedencia de su cancelación.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ARTÍCULO SEGUNDO.</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Comuníquese el contenido de la presente resolución a la comunidad indígena</w:t>
      </w: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la </w:t>
      </w: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Comunidad Indígena Murui Muina</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que se registra. Así mismo comuníquese a la Alcaldía Municipal de La Montañita y a la Gobernación Departamental de Caquetá, para lo de su competencia. </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ARTÍCULO TERCERO.</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La presente Resolución se entenderá notificada en los términos del artículo 70 del Código de Procedimiento Administrativo y de lo Contencioso Administrativo.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ARTÍCULO CUARTO.</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Contra la presente Resolución proceden los recursos de reposición y apelación, los cuales deberán interponerse dentro de los diez (10) días hábiles siguientes a su expedición.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ARTÍCULO QUINTO.</w:t>
      </w: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La presente Resolución surte efectos a partir de su ejecutoria.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bCs w:val="1"/>
          <w:i w:val="0"/>
          <w:iCs w:val="0"/>
          <w:smallCaps w:val="0"/>
          <w:strike w:val="0"/>
          <w:color w:val="000000"/>
          <w:sz w:val="24"/>
          <w:szCs w:val="24"/>
          <w:u w:val="none"/>
          <w:shd w:fill="auto" w:val="clear"/>
          <w:vertAlign w:val="baseline"/>
          <w:rtl w:val="0"/>
        </w:rPr>
        <w:t xml:space="preserve">COMÚNIQUESE Y CÚMPLASE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bookmarkStart w:colFirst="0" w:colLast="0" w:name="_heading=h.geoss8abcrkm" w:id="2"/>
      <w:bookmarkEnd w:id="2"/>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t xml:space="preserve">Dada en Bogotá D. C., a los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4"/>
          <w:szCs w:val="24"/>
          <w:u w:val="none"/>
          <w:shd w:fill="auto" w:val="clear"/>
          <w:vertAlign w:val="baseline"/>
          <w:rtl w:val="0"/>
        </w:rPr>
        <w:br w:type="textWrapping"/>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i w:val="0"/>
          <w:iCs w:val="0"/>
          <w:smallCaps w:val="0"/>
          <w:strike w:val="0"/>
          <w:color w:val="000000"/>
          <w:sz w:val="24"/>
          <w:szCs w:val="24"/>
          <w:highlight w:val="yellow"/>
          <w:u w:val="none"/>
          <w:vertAlign w:val="baseline"/>
        </w:rPr>
      </w:pPr>
      <w:r w:rsidDel="00000000" w:rsidR="00000000" w:rsidRPr="00000000">
        <w:rPr>
          <w:rFonts w:ascii="Verdana" w:cs="Verdana" w:eastAsia="Verdana" w:hAnsi="Verdana"/>
          <w:b w:val="1"/>
          <w:bCs w:val="1"/>
          <w:i w:val="0"/>
          <w:iCs w:val="0"/>
          <w:smallCaps w:val="0"/>
          <w:strike w:val="0"/>
          <w:color w:val="000000"/>
          <w:sz w:val="24"/>
          <w:szCs w:val="24"/>
          <w:highlight w:val="yellow"/>
          <w:u w:val="none"/>
          <w:vertAlign w:val="baseline"/>
          <w:rtl w:val="0"/>
        </w:rPr>
        <w:t xml:space="preserve">ROQUELINA SABIS BLANCO MOSCARELLA</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0"/>
          <w:bCs w:val="0"/>
          <w:i w:val="0"/>
          <w:iCs w:val="0"/>
          <w:smallCaps w:val="0"/>
          <w:strike w:val="0"/>
          <w:color w:val="000000"/>
          <w:sz w:val="24"/>
          <w:szCs w:val="24"/>
          <w:highlight w:val="yellow"/>
          <w:u w:val="none"/>
          <w:vertAlign w:val="baseline"/>
        </w:rPr>
      </w:pPr>
      <w:r w:rsidDel="00000000" w:rsidR="00000000" w:rsidRPr="00000000">
        <w:rPr>
          <w:rFonts w:ascii="Verdana" w:cs="Verdana" w:eastAsia="Verdana" w:hAnsi="Verdana"/>
          <w:b w:val="0"/>
          <w:bCs w:val="0"/>
          <w:i w:val="0"/>
          <w:iCs w:val="0"/>
          <w:smallCaps w:val="0"/>
          <w:strike w:val="0"/>
          <w:color w:val="000000"/>
          <w:sz w:val="24"/>
          <w:szCs w:val="24"/>
          <w:highlight w:val="yellow"/>
          <w:u w:val="none"/>
          <w:vertAlign w:val="baseline"/>
          <w:rtl w:val="0"/>
        </w:rPr>
        <w:t xml:space="preserve">Directora de Asuntos Indígenas, Rom y Minorías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4"/>
          <w:szCs w:val="24"/>
          <w:highlight w:val="yellow"/>
          <w:u w:val="none"/>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16"/>
          <w:szCs w:val="16"/>
          <w:highlight w:val="yellow"/>
          <w:u w:val="none"/>
          <w:vertAlign w:val="baseline"/>
        </w:rPr>
      </w:pPr>
      <w:r w:rsidDel="00000000" w:rsidR="00000000" w:rsidRPr="00000000">
        <w:rPr>
          <w:rFonts w:ascii="Verdana" w:cs="Verdana" w:eastAsia="Verdana" w:hAnsi="Verdana"/>
          <w:b w:val="0"/>
          <w:bCs w:val="0"/>
          <w:i w:val="0"/>
          <w:iCs w:val="0"/>
          <w:smallCaps w:val="0"/>
          <w:strike w:val="0"/>
          <w:color w:val="000000"/>
          <w:sz w:val="16"/>
          <w:szCs w:val="16"/>
          <w:highlight w:val="yellow"/>
          <w:u w:val="none"/>
          <w:vertAlign w:val="baseline"/>
          <w:rtl w:val="0"/>
        </w:rPr>
        <w:t xml:space="preserve">Proyectó: </w:t>
      </w:r>
      <w:r w:rsidDel="00000000" w:rsidR="00000000" w:rsidRPr="00000000">
        <w:rPr>
          <w:rFonts w:ascii="Verdana" w:cs="Verdana" w:eastAsia="Verdana" w:hAnsi="Verdana"/>
          <w:b w:val="0"/>
          <w:bCs w:val="0"/>
          <w:i w:val="0"/>
          <w:iCs w:val="0"/>
          <w:smallCaps w:val="0"/>
          <w:strike w:val="0"/>
          <w:color w:val="000000"/>
          <w:sz w:val="16"/>
          <w:szCs w:val="16"/>
          <w:u w:val="none"/>
          <w:shd w:fill="auto" w:val="clear"/>
          <w:vertAlign w:val="baseline"/>
          <w:rtl w:val="0"/>
        </w:rPr>
        <w:t xml:space="preserve">David Verdooren Flórez</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16"/>
          <w:szCs w:val="16"/>
          <w:highlight w:val="yellow"/>
          <w:u w:val="none"/>
          <w:vertAlign w:val="baseline"/>
        </w:rPr>
      </w:pPr>
      <w:r w:rsidDel="00000000" w:rsidR="00000000" w:rsidRPr="00000000">
        <w:rPr>
          <w:rFonts w:ascii="Verdana" w:cs="Verdana" w:eastAsia="Verdana" w:hAnsi="Verdana"/>
          <w:b w:val="0"/>
          <w:bCs w:val="0"/>
          <w:i w:val="0"/>
          <w:iCs w:val="0"/>
          <w:smallCaps w:val="0"/>
          <w:strike w:val="0"/>
          <w:color w:val="000000"/>
          <w:sz w:val="16"/>
          <w:szCs w:val="16"/>
          <w:highlight w:val="yellow"/>
          <w:u w:val="none"/>
          <w:vertAlign w:val="baseline"/>
          <w:rtl w:val="0"/>
        </w:rPr>
        <w:t xml:space="preserve">Revisó: [equipo EE]</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16"/>
          <w:szCs w:val="16"/>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16"/>
          <w:szCs w:val="16"/>
          <w:highlight w:val="yellow"/>
          <w:u w:val="none"/>
          <w:vertAlign w:val="baseline"/>
          <w:rtl w:val="0"/>
        </w:rPr>
        <w:t xml:space="preserve">Aprobó: </w:t>
      </w:r>
      <w:r w:rsidDel="00000000" w:rsidR="00000000" w:rsidRPr="00000000">
        <w:rPr>
          <w:rtl w:val="0"/>
        </w:rPr>
      </w:r>
    </w:p>
    <w:sectPr>
      <w:headerReference r:id="rId7" w:type="default"/>
      <w:headerReference r:id="rId8" w:type="first"/>
      <w:footerReference r:id="rId9" w:type="default"/>
      <w:footerReference r:id="rId10" w:type="first"/>
      <w:pgSz w:h="18720" w:w="12240" w:orient="portrait"/>
      <w:pgMar w:bottom="1417" w:top="1417" w:left="1701" w:right="1608" w:header="907"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Verdana" w:cs="Verdana" w:eastAsia="Verdana" w:hAnsi="Verdana"/>
        <w:b w:val="0"/>
        <w:bCs w:val="0"/>
        <w:i w:val="0"/>
        <w:iCs w:val="0"/>
        <w:smallCaps w:val="0"/>
        <w:strike w:val="0"/>
        <w:color w:val="000000"/>
        <w:sz w:val="22"/>
        <w:szCs w:val="22"/>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Página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 de </w:t>
    </w:r>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925.0" w:type="dxa"/>
      <w:jc w:val="left"/>
      <w:tblLayout w:type="fixed"/>
      <w:tblLook w:val="0600"/>
    </w:tblPr>
    <w:tblGrid>
      <w:gridCol w:w="2975"/>
      <w:gridCol w:w="2975"/>
      <w:gridCol w:w="2975"/>
      <w:tblGridChange w:id="0">
        <w:tblGrid>
          <w:gridCol w:w="2975"/>
          <w:gridCol w:w="2975"/>
          <w:gridCol w:w="2975"/>
        </w:tblGrid>
      </w:tblGridChange>
    </w:tblGrid>
    <w:tr>
      <w:trPr>
        <w:cantSplit w:val="0"/>
        <w:trHeight w:val="300" w:hRule="atLeast"/>
        <w:tblHeader w:val="0"/>
      </w:trPr>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15"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115"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bCs w:val="1"/>
        <w:i w:val="0"/>
        <w:iCs w:val="0"/>
        <w:smallCaps w:val="0"/>
        <w:strike w:val="0"/>
        <w:color w:val="000000"/>
        <w:sz w:val="24"/>
        <w:szCs w:val="24"/>
        <w:u w:val="none"/>
        <w:shd w:fill="auto" w:val="clear"/>
        <w:vertAlign w:val="baseline"/>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-1080134</wp:posOffset>
          </wp:positionH>
          <wp:positionV relativeFrom="paragraph">
            <wp:posOffset>-489289</wp:posOffset>
          </wp:positionV>
          <wp:extent cx="7770767" cy="11632018"/>
          <wp:effectExtent b="0" l="0" r="0" t="0"/>
          <wp:wrapNone/>
          <wp:docPr id="6"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7770767" cy="11632018"/>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2431311</wp:posOffset>
          </wp:positionH>
          <wp:positionV relativeFrom="paragraph">
            <wp:posOffset>-269991</wp:posOffset>
          </wp:positionV>
          <wp:extent cx="836428" cy="836428"/>
          <wp:effectExtent b="0" l="0" r="0" t="0"/>
          <wp:wrapNone/>
          <wp:docPr id="5"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36428" cy="836428"/>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-191761</wp:posOffset>
              </wp:positionH>
              <wp:positionV relativeFrom="paragraph">
                <wp:posOffset>-192071</wp:posOffset>
              </wp:positionV>
              <wp:extent cx="1767441" cy="626213"/>
              <wp:effectExtent b="0" l="0" r="0" t="0"/>
              <wp:wrapNone/>
              <wp:docPr id="1" name=""/>
              <a:graphic>
                <a:graphicData uri="http://schemas.microsoft.com/office/word/2010/wordprocessingShape">
                  <wps:wsp>
                    <wps:cNvSpPr/>
                    <wps:cNvPr id="2" name="Shape 2"/>
                    <wps:spPr>
                      <a:xfrm>
                        <a:off x="4467042" y="3471656"/>
                        <a:ext cx="1757916" cy="616688"/>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-191761</wp:posOffset>
              </wp:positionH>
              <wp:positionV relativeFrom="paragraph">
                <wp:posOffset>-192071</wp:posOffset>
              </wp:positionV>
              <wp:extent cx="1767441" cy="626213"/>
              <wp:effectExtent b="0" l="0" r="0" t="0"/>
              <wp:wrapNone/>
              <wp:docPr id="1" name="image2.png"/>
              <a:graphic>
                <a:graphicData uri="http://schemas.openxmlformats.org/drawingml/2006/picture">
                  <pic:pic>
                    <pic:nvPicPr>
                      <pic:cNvPr id="0" name="image2.png"/>
                      <pic:cNvPicPr preferRelativeResize="0"/>
                    </pic:nvPicPr>
                    <pic:blipFill>
                      <a:blip r:embed="rId3"/>
                      <a:srcRect/>
                      <a:stretch>
                        <a:fillRect/>
                      </a:stretch>
                    </pic:blipFill>
                    <pic:spPr>
                      <a:xfrm>
                        <a:off x="0" y="0"/>
                        <a:ext cx="1767441" cy="626213"/>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3909172</wp:posOffset>
              </wp:positionH>
              <wp:positionV relativeFrom="paragraph">
                <wp:posOffset>-194995</wp:posOffset>
              </wp:positionV>
              <wp:extent cx="1767441" cy="626213"/>
              <wp:effectExtent b="0" l="0" r="0" t="0"/>
              <wp:wrapNone/>
              <wp:docPr id="4" name=""/>
              <a:graphic>
                <a:graphicData uri="http://schemas.microsoft.com/office/word/2010/wordprocessingShape">
                  <wps:wsp>
                    <wps:cNvSpPr/>
                    <wps:cNvPr id="5" name="Shape 5"/>
                    <wps:spPr>
                      <a:xfrm>
                        <a:off x="4467042" y="3471656"/>
                        <a:ext cx="1757916" cy="616688"/>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3909172</wp:posOffset>
              </wp:positionH>
              <wp:positionV relativeFrom="paragraph">
                <wp:posOffset>-194995</wp:posOffset>
              </wp:positionV>
              <wp:extent cx="1767441" cy="626213"/>
              <wp:effectExtent b="0" l="0" r="0" t="0"/>
              <wp:wrapNone/>
              <wp:docPr id="4"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1767441" cy="626213"/>
                      </a:xfrm>
                      <a:prstGeom prst="rect"/>
                      <a:ln/>
                    </pic:spPr>
                  </pic:pic>
                </a:graphicData>
              </a:graphic>
            </wp:anchor>
          </w:drawing>
        </mc:Fallback>
      </mc:AlternateConten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bCs w:val="1"/>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52">
    <w:pPr>
      <w:rPr>
        <w:rFonts w:ascii="Verdana" w:cs="Verdana" w:eastAsia="Verdana" w:hAnsi="Verdana"/>
      </w:rPr>
    </w:pPr>
    <w:r w:rsidDel="00000000" w:rsidR="00000000" w:rsidRPr="00000000">
      <w:rPr>
        <w:rFonts w:ascii="Verdana" w:cs="Verdana" w:eastAsia="Verdana" w:hAnsi="Verdana"/>
        <w:b w:val="1"/>
        <w:bCs w:val="1"/>
        <w:rtl w:val="0"/>
      </w:rPr>
      <w:t xml:space="preserve">   RESOLUCIÓN NÚMERO                 DE                          PÁGINA</w:t>
    </w:r>
    <w:r w:rsidDel="00000000" w:rsidR="00000000" w:rsidRPr="00000000">
      <w:rPr>
        <w:rFonts w:ascii="Verdana" w:cs="Verdana" w:eastAsia="Verdana" w:hAnsi="Verdana"/>
        <w:rtl w:val="0"/>
      </w:rPr>
      <w:t xml:space="preserve"> </w:t>
    </w:r>
    <w:r w:rsidDel="00000000" w:rsidR="00000000" w:rsidRPr="00000000">
      <w:rPr>
        <w:rFonts w:ascii="Verdana" w:cs="Verdana" w:eastAsia="Verdana" w:hAnsi="Verdana"/>
        <w:b w:val="1"/>
        <w:bCs w:val="1"/>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Verdana" w:cs="Verdana" w:eastAsia="Verdana" w:hAnsi="Verdana"/>
        <w:b w:val="0"/>
        <w:bCs w:val="0"/>
        <w:i w:val="0"/>
        <w:iCs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Continuación de la Resolución. Por la cual se inscribe en el Registro de Comunidades Indígenas la Comunidad Indígena Murui Muina, perteneciente a los pueblos indígenas Murui Muina, comunidades familiares en el municipio de La Montañita, en el departamento de Caquetá</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spacing w:after="0" w:lineRule="auto"/>
      <w:jc w:val="center"/>
      <w:rPr>
        <w:rFonts w:ascii="Helvetica Neue" w:cs="Helvetica Neue" w:eastAsia="Helvetica Neue" w:hAnsi="Helvetica Neue"/>
        <w:b w:val="1"/>
        <w:b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-1069974</wp:posOffset>
          </wp:positionH>
          <wp:positionV relativeFrom="paragraph">
            <wp:posOffset>-587374</wp:posOffset>
          </wp:positionV>
          <wp:extent cx="7772400" cy="11676457"/>
          <wp:effectExtent b="0" l="0" r="0" t="0"/>
          <wp:wrapNone/>
          <wp:docPr id="8" name="image6.png"/>
          <a:graphic>
            <a:graphicData uri="http://schemas.openxmlformats.org/drawingml/2006/picture">
              <pic:pic>
                <pic:nvPicPr>
                  <pic:cNvPr id="0" name="image6.png"/>
                  <pic:cNvPicPr preferRelativeResize="0"/>
                </pic:nvPicPr>
                <pic:blipFill>
                  <a:blip r:embed="rId1"/>
                  <a:srcRect b="0" l="0" r="0" t="0"/>
                  <a:stretch>
                    <a:fillRect/>
                  </a:stretch>
                </pic:blipFill>
                <pic:spPr>
                  <a:xfrm>
                    <a:off x="0" y="0"/>
                    <a:ext cx="7772400" cy="11676457"/>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2385813</wp:posOffset>
          </wp:positionH>
          <wp:positionV relativeFrom="paragraph">
            <wp:posOffset>-257809</wp:posOffset>
          </wp:positionV>
          <wp:extent cx="836428" cy="836428"/>
          <wp:effectExtent b="0" l="0" r="0" t="0"/>
          <wp:wrapNone/>
          <wp:docPr id="7"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836428" cy="836428"/>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-283909</wp:posOffset>
              </wp:positionH>
              <wp:positionV relativeFrom="paragraph">
                <wp:posOffset>-277132</wp:posOffset>
              </wp:positionV>
              <wp:extent cx="2249451" cy="774700"/>
              <wp:effectExtent b="0" l="0" r="0" t="0"/>
              <wp:wrapNone/>
              <wp:docPr id="3" name=""/>
              <a:graphic>
                <a:graphicData uri="http://schemas.microsoft.com/office/word/2010/wordprocessingShape">
                  <wps:wsp>
                    <wps:cNvSpPr/>
                    <wps:cNvPr id="4" name="Shape 4"/>
                    <wps:spPr>
                      <a:xfrm>
                        <a:off x="4226037" y="3397413"/>
                        <a:ext cx="2239926" cy="765175"/>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-283909</wp:posOffset>
              </wp:positionH>
              <wp:positionV relativeFrom="paragraph">
                <wp:posOffset>-277132</wp:posOffset>
              </wp:positionV>
              <wp:extent cx="2249451" cy="774700"/>
              <wp:effectExtent b="0" l="0" r="0" t="0"/>
              <wp:wrapNone/>
              <wp:docPr id="3" name="image4.png"/>
              <a:graphic>
                <a:graphicData uri="http://schemas.openxmlformats.org/drawingml/2006/picture">
                  <pic:pic>
                    <pic:nvPicPr>
                      <pic:cNvPr id="0" name="image4.png"/>
                      <pic:cNvPicPr preferRelativeResize="0"/>
                    </pic:nvPicPr>
                    <pic:blipFill>
                      <a:blip r:embed="rId3"/>
                      <a:srcRect/>
                      <a:stretch>
                        <a:fillRect/>
                      </a:stretch>
                    </pic:blipFill>
                    <pic:spPr>
                      <a:xfrm>
                        <a:off x="0" y="0"/>
                        <a:ext cx="2249451" cy="774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4163437</wp:posOffset>
              </wp:positionH>
              <wp:positionV relativeFrom="paragraph">
                <wp:posOffset>-280085</wp:posOffset>
              </wp:positionV>
              <wp:extent cx="1568967" cy="775069"/>
              <wp:effectExtent b="0" l="0" r="0" t="0"/>
              <wp:wrapNone/>
              <wp:docPr id="2" name=""/>
              <a:graphic>
                <a:graphicData uri="http://schemas.microsoft.com/office/word/2010/wordprocessingShape">
                  <wps:wsp>
                    <wps:cNvSpPr/>
                    <wps:cNvPr id="3" name="Shape 3"/>
                    <wps:spPr>
                      <a:xfrm>
                        <a:off x="4566279" y="3397228"/>
                        <a:ext cx="1559442" cy="765544"/>
                      </a:xfrm>
                      <a:prstGeom prst="rect">
                        <a:avLst/>
                      </a:prstGeom>
                      <a:solidFill>
                        <a:schemeClr val="lt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4163437</wp:posOffset>
              </wp:positionH>
              <wp:positionV relativeFrom="paragraph">
                <wp:posOffset>-280085</wp:posOffset>
              </wp:positionV>
              <wp:extent cx="1568967" cy="775069"/>
              <wp:effectExtent b="0" l="0" r="0" t="0"/>
              <wp:wrapNone/>
              <wp:docPr id="2" name="image3.png"/>
              <a:graphic>
                <a:graphicData uri="http://schemas.openxmlformats.org/drawingml/2006/picture">
                  <pic:pic>
                    <pic:nvPicPr>
                      <pic:cNvPr id="0" name="image3.png"/>
                      <pic:cNvPicPr preferRelativeResize="0"/>
                    </pic:nvPicPr>
                    <pic:blipFill>
                      <a:blip r:embed="rId3"/>
                      <a:srcRect/>
                      <a:stretch>
                        <a:fillRect/>
                      </a:stretch>
                    </pic:blipFill>
                    <pic:spPr>
                      <a:xfrm>
                        <a:off x="0" y="0"/>
                        <a:ext cx="1568967" cy="775069"/>
                      </a:xfrm>
                      <a:prstGeom prst="rect"/>
                      <a:ln/>
                    </pic:spPr>
                  </pic:pic>
                </a:graphicData>
              </a:graphic>
            </wp:anchor>
          </w:drawing>
        </mc:Fallback>
      </mc:AlternateContent>
    </w:r>
  </w:p>
  <w:p w:rsidR="00000000" w:rsidDel="00000000" w:rsidP="00000000" w:rsidRDefault="00000000" w:rsidRPr="00000000" w14:paraId="00000057">
    <w:pPr>
      <w:spacing w:after="0" w:lineRule="auto"/>
      <w:jc w:val="center"/>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58">
    <w:pPr>
      <w:spacing w:after="0" w:lineRule="auto"/>
      <w:jc w:val="center"/>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59">
    <w:pPr>
      <w:spacing w:after="0" w:lineRule="auto"/>
      <w:jc w:val="center"/>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5A">
    <w:pPr>
      <w:spacing w:after="0" w:lineRule="auto"/>
      <w:jc w:val="center"/>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5B">
    <w:pPr>
      <w:rPr>
        <w:rFonts w:ascii="Verdana" w:cs="Verdana" w:eastAsia="Verdana" w:hAnsi="Verdana"/>
        <w:b w:val="1"/>
        <w:bCs w:val="1"/>
      </w:rPr>
    </w:pPr>
    <w:r w:rsidDel="00000000" w:rsidR="00000000" w:rsidRPr="00000000">
      <w:rPr>
        <w:rFonts w:ascii="Verdana" w:cs="Verdana" w:eastAsia="Verdana" w:hAnsi="Verdana"/>
        <w:b w:val="1"/>
        <w:bCs w:val="1"/>
        <w:rtl w:val="0"/>
      </w:rPr>
      <w:t xml:space="preserve">       RESOLUCIÓN NÚMERO                 DE</w:t>
    </w:r>
  </w:p>
  <w:p w:rsidR="00000000" w:rsidDel="00000000" w:rsidP="00000000" w:rsidRDefault="00000000" w:rsidRPr="00000000" w14:paraId="0000005C">
    <w:pPr>
      <w:rPr>
        <w:rFonts w:ascii="Verdana" w:cs="Verdana" w:eastAsia="Verdana" w:hAnsi="Verdana"/>
        <w:b w:val="1"/>
        <w:bCs w:val="1"/>
      </w:rPr>
    </w:pPr>
    <w:r w:rsidDel="00000000" w:rsidR="00000000" w:rsidRPr="00000000">
      <w:rPr>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png"/><Relationship Id="rId3"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1.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iUdbEXk/m8B/b2cS5uGd2pyPVA==">CgMxLjAyDmguNzA4M29hZzUxeno2Mg5oLnFmM2E4c2dic3ZmZzIOaC5nZW9zczhhYmNya204AHIhMXlNLTh1dWJIX2d1dTRoeHVuc3ZnVzlsRFp4UmxvTnR5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0x010100ABD9D234765DD042AF05F16A250A74E6</vt:lpwstr>
  </property>
</Properties>
</file>