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rFonts w:ascii="Lato" w:cs="Lato" w:eastAsia="Lato" w:hAnsi="Lato"/>
          <w:b/>
          <w:bCs/>
          <w:color w:val="1F3856"/>
          <w:sz w:val="72"/>
          <w:szCs w:val="72"/>
        </w:rPr>
        <w:t xml:space="preserve">PROJECT ONE</w:t>
      </w:r>
    </w:p>
    <w:p>
      <w:pPr>
        <w:spacing w:after="240"/>
      </w:pPr>
      <w:r>
        <w:rPr>
          <w:rFonts w:ascii="Lato" w:cs="Lato" w:eastAsia="Lato" w:hAnsi="Lato"/>
          <w:color w:val="2E6E8E"/>
          <w:sz w:val="34"/>
          <w:szCs w:val="34"/>
        </w:rPr>
        <w:t xml:space="preserve">Revised Research &amp; Execution Plan (v2)</w:t>
      </w:r>
    </w:p>
    <w:p>
      <w:pPr>
        <w:spacing w:after="300"/>
      </w:pPr>
      <w:r>
        <w:rPr>
          <w:rFonts w:ascii="Lato" w:cs="Lato" w:eastAsia="Lato" w:hAnsi="Lato"/>
          <w:color w:val="595959"/>
          <w:sz w:val="26"/>
          <w:szCs w:val="26"/>
        </w:rPr>
        <w:t xml:space="preserve">Recursive Self-Model Feedback in Evolving Multi-Agent Networks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Working premise (unchanged). </w:t>
      </w:r>
      <w:r>
        <w:rPr>
          <w:rFonts w:ascii="Georgia" w:cs="Georgia" w:eastAsia="Georgia" w:hAnsi="Georgia"/>
          <w:sz w:val="22"/>
          <w:szCs w:val="22"/>
        </w:rPr>
        <w:t xml:space="preserve">Build a digital world in which many temporary, locally limited agents collectively create a larger evolving network; let a global observer measure and remember the network's condition; feed that self-description back into the agents; and measure what changes — including when the self-description is false.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What this revision does. </w:t>
      </w:r>
      <w:r>
        <w:rPr>
          <w:rFonts w:ascii="Georgia" w:cs="Georgia" w:eastAsia="Georgia" w:hAnsi="Georgia"/>
          <w:sz w:val="22"/>
          <w:szCs w:val="22"/>
        </w:rPr>
        <w:t xml:space="preserve">It keeps every central idea of the original proposal and changes the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order of attack</w:t>
      </w:r>
      <w:r>
        <w:rPr>
          <w:rFonts w:ascii="Georgia" w:cs="Georgia" w:eastAsia="Georgia" w:hAnsi="Georgia"/>
          <w:sz w:val="22"/>
          <w:szCs w:val="22"/>
        </w:rPr>
        <w:t xml:space="preserve">. Version 1 was a research programme; version 2 is a wedge: one buildable prototype, one flagship experiment with a defensible novelty claim, one narrow paper, and a deliberate outreach path designed to win collaborators and support. Everything else in the original document is preserved — but demoted to later phases so it cannot dilute the first result.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color w:val="595959"/>
          <w:sz w:val="20"/>
          <w:szCs w:val="20"/>
        </w:rPr>
        <w:t xml:space="preserve">Prepared August 2026 · supersedes the August 2026 exploratory proposal for execution purposes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ato" w:cs="Lato" w:eastAsia="Lato" w:hAnsi="Lato"/>
          <w:b/>
          <w:bCs/>
          <w:color w:val="1F3856"/>
          <w:sz w:val="30"/>
          <w:szCs w:val="30"/>
        </w:rPr>
        <w:t xml:space="preserve">1. What Stays the Same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core architecture is untouched: temporary agents with local views only; birth, death, inheritance and traceable information objects; a time-indexed network G(t); a global observer that compresses the macrostate into a self-model S(t); and the recursive loop in which that self-model is broadcast back into the world it describes. The commitment to falsifiability, paired-seed control conditions, pre-registered outcomes, ablations, and welcome negative results also stays — it is the proposal's greatest strength and the thing that will earn researchers' trust.</w:t>
      </w:r>
    </w:p>
    <w:p>
      <w:pPr>
        <w:spacing w:after="160" w:before="60" w:line="300"/>
        <w:ind w:left="480" w:right="480"/>
      </w:pPr>
      <w:r>
        <w:rPr>
          <w:rFonts w:ascii="Georgia" w:cs="Georgia" w:eastAsia="Georgia" w:hAnsi="Georgia"/>
          <w:i/>
          <w:iCs/>
          <w:color w:val="1F3856"/>
          <w:sz w:val="22"/>
          <w:szCs w:val="22"/>
        </w:rPr>
        <w:t xml:space="preserve">Local actions → global condition → measurement → self-model → broadcast → changed local actions → changed global condition. The loop is the project.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philosophical motivation also stays — as exactly one paragraph, in the introduction, framed as motivation and never as a claim. Reviewers and PIs filter hard on this. The ocean-and-wave image can live in a talk; the paper speaks the language of complex systems.</w:t>
      </w:r>
    </w:p>
    <w:p>
      <w:pPr>
        <w:pStyle w:val="Heading1"/>
        <w:spacing w:after="160" w:before="360"/>
      </w:pPr>
      <w:r>
        <w:rPr>
          <w:rFonts w:ascii="Lato" w:cs="Lato" w:eastAsia="Lato" w:hAnsi="Lato"/>
          <w:b/>
          <w:bCs/>
          <w:color w:val="1F3856"/>
          <w:sz w:val="30"/>
          <w:szCs w:val="30"/>
        </w:rPr>
        <w:t xml:space="preserve">2. The Repositioning: Lead With What Is Novel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honest weakness of v1 is that its headline hypothesis —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global feedback changes dynamics</w:t>
      </w:r>
      <w:r>
        <w:rPr>
          <w:rFonts w:ascii="Georgia" w:cs="Georgia" w:eastAsia="Georgia" w:hAnsi="Georgia"/>
          <w:sz w:val="22"/>
          <w:szCs w:val="22"/>
        </w:rPr>
        <w:t xml:space="preserve"> — is true almost by construction. Physics has studied agents coupled to a global order parameter for decades (mean-field coupled maps, Kuramoto synchronization), and multi-agent RL has a literature on global-state access. A reviewer's first question will be: what is new? Version 2 answers by leading with the two elements of the design that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do not</w:t>
      </w:r>
      <w:r>
        <w:rPr>
          <w:rFonts w:ascii="Georgia" w:cs="Georgia" w:eastAsia="Georgia" w:hAnsi="Georgia"/>
          <w:sz w:val="22"/>
          <w:szCs w:val="22"/>
        </w:rPr>
        <w:t xml:space="preserve"> have a clean precedent: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The false self-model (flagship). </w:t>
      </w:r>
      <w:r>
        <w:rPr>
          <w:rFonts w:ascii="Georgia" w:cs="Georgia" w:eastAsia="Georgia" w:hAnsi="Georgia"/>
          <w:sz w:val="22"/>
          <w:szCs w:val="22"/>
        </w:rPr>
        <w:t xml:space="preserve">Broadcasting a deliberately inaccurate self-description and measuring whether — and how — a distributed system is altered by wrong information it carries about itself: self-fulfilling collapse, self-defeating panic, manufactured coordination. Mean-field physics never lies to its particles. This connects directly to reflexivity in markets, metrics-gaming in organizations, and narrative feedback in online platforms, and it is the single most memorable, quotable result the prototype can produce.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Continuity under total turnover. </w:t>
      </w:r>
      <w:r>
        <w:rPr>
          <w:rFonts w:ascii="Georgia" w:cs="Georgia" w:eastAsia="Georgia" w:hAnsi="Georgia"/>
          <w:sz w:val="22"/>
          <w:szCs w:val="22"/>
        </w:rPr>
        <w:t xml:space="preserve">Replacing 100% of agents while measuring which macroscopic properties persist — structural, informational, behavioural, functional — treating 'identity' as a bundle of separable continuities rather than one number. This is a genuinely original operationalization and a natural second paper.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Everything else — homeostatic controllers, competing observers, the observer inside the world, nested selves, distributed deployment, human participation — is preserved in the Deferred Programme (Section 8). Deferring is not abandoning; it is sequencing for credibility.</w:t>
      </w:r>
    </w:p>
    <w:p>
      <w:pPr>
        <w:pStyle w:val="Heading1"/>
        <w:spacing w:after="160" w:before="360"/>
      </w:pPr>
      <w:r>
        <w:rPr>
          <w:rFonts w:ascii="Lato" w:cs="Lato" w:eastAsia="Lato" w:hAnsi="Lato"/>
          <w:b/>
          <w:bCs/>
          <w:color w:val="1F3856"/>
          <w:sz w:val="30"/>
          <w:szCs w:val="30"/>
        </w:rPr>
        <w:t xml:space="preserve">3. Flagship Experiment &amp; Paper 1</w:t>
      </w:r>
    </w:p>
    <w:p>
      <w:pPr>
        <w:pStyle w:val="Heading2"/>
        <w:spacing w:after="120" w:before="240"/>
      </w:pPr>
      <w:r>
        <w:rPr>
          <w:rFonts w:ascii="Lato" w:cs="Lato" w:eastAsia="Lato" w:hAnsi="Lato"/>
          <w:b/>
          <w:bCs/>
          <w:color w:val="2E6E8E"/>
          <w:sz w:val="24"/>
          <w:szCs w:val="24"/>
        </w:rPr>
        <w:t xml:space="preserve">3.1 The claim Paper 1 defends</w:t>
      </w:r>
    </w:p>
    <w:p>
      <w:pPr>
        <w:spacing w:after="160" w:before="60" w:line="300"/>
        <w:ind w:left="480" w:right="480"/>
      </w:pPr>
      <w:r>
        <w:rPr>
          <w:rFonts w:ascii="Georgia" w:cs="Georgia" w:eastAsia="Georgia" w:hAnsi="Georgia"/>
          <w:i/>
          <w:iCs/>
          <w:color w:val="1F3856"/>
          <w:sz w:val="22"/>
          <w:szCs w:val="22"/>
        </w:rPr>
        <w:t xml:space="preserve">“A distributed adaptive system can be causally altered by a compressed representation of itself — and the effect persists, in characteristic directions, even when the representation is false.”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paper is not 'we built a world.' It is one controlled comparison, run to death: accurate self-model feedback versus no feedback versus distorted feedback, across many seeds, with ablations that separate the information content of the broadcast from its mere presence.</w:t>
      </w:r>
    </w:p>
    <w:p>
      <w:pPr>
        <w:pStyle w:val="Heading2"/>
        <w:spacing w:after="120" w:before="240"/>
      </w:pPr>
      <w:r>
        <w:rPr>
          <w:rFonts w:ascii="Lato" w:cs="Lato" w:eastAsia="Lato" w:hAnsi="Lato"/>
          <w:b/>
          <w:bCs/>
          <w:color w:val="2E6E8E"/>
          <w:sz w:val="24"/>
          <w:szCs w:val="24"/>
        </w:rPr>
        <w:t xml:space="preserve">3.2 Lean experiment matrix (v2)</w:t>
      </w:r>
    </w:p>
    <w:tbl>
      <w:tblPr>
        <w:tblW w:type="dxa" w:w="970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AAB7C4" w:sz="4"/>
          <w:insideV w:val="single" w:color="AAB7C4" w:sz="4"/>
        </w:tblBorders>
      </w:tblPr>
      <w:tblGrid>
        <w:gridCol w:w="1750"/>
        <w:gridCol w:w="1500"/>
        <w:gridCol w:w="2650"/>
        <w:gridCol w:w="3800"/>
      </w:tblGrid>
      <w:tr>
        <w:trPr>
          <w:tblHeader/>
        </w:trPr>
        <w:tc>
          <w:tcPr>
            <w:tcW w:type="dxa" w:w="1750"/>
            <w:shd w:fill="DCE6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Lato" w:cs="Lato" w:eastAsia="Lato" w:hAnsi="Lato"/>
                <w:b/>
                <w:bCs/>
                <w:color w:val="1F3856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  <w:shd w:fill="DCE6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Lato" w:cs="Lato" w:eastAsia="Lato" w:hAnsi="Lato"/>
                <w:b/>
                <w:bCs/>
                <w:color w:val="1F3856"/>
                <w:sz w:val="20"/>
                <w:szCs w:val="20"/>
              </w:rPr>
              <w:t xml:space="preserve">Observer measures</w:t>
            </w:r>
          </w:p>
        </w:tc>
        <w:tc>
          <w:tcPr>
            <w:tcW w:type="dxa" w:w="2650"/>
            <w:shd w:fill="DCE6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Lato" w:cs="Lato" w:eastAsia="Lato" w:hAnsi="Lato"/>
                <w:b/>
                <w:bCs/>
                <w:color w:val="1F3856"/>
                <w:sz w:val="20"/>
                <w:szCs w:val="20"/>
              </w:rPr>
              <w:t xml:space="preserve">Agents receive</w:t>
            </w:r>
          </w:p>
        </w:tc>
        <w:tc>
          <w:tcPr>
            <w:tcW w:type="dxa" w:w="3800"/>
            <w:shd w:fill="DCE6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Lato" w:cs="Lato" w:eastAsia="Lato" w:hAnsi="Lato"/>
                <w:b/>
                <w:bCs/>
                <w:color w:val="1F3856"/>
                <w:sz w:val="20"/>
                <w:szCs w:val="20"/>
              </w:rPr>
              <w:t xml:space="preserve">Role in the paper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A — Local Only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No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Nothing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B — Observed but Blind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Yes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Nothing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Controls for measurement itself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C — True Feedback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Yes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Accurate S(t)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Main treatment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F — False Feedback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Yes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Systematically distorted S(t)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Flagship: causal power of wrong self-information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N — Noise Feedback (ablation)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Yes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Matched-bandwidth random signal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Separates 'any broadcast' from 'self-information'</w:t>
            </w:r>
          </w:p>
        </w:tc>
      </w:tr>
    </w:tbl>
    <w:p>
      <w:pPr>
        <w:spacing w:after="140" w:before="14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Conditions D (historical feedback), E (homeostatic controller) and G (partial observer) from v1 are deferred. The Noise condition N is promoted from the ablation list to a first-class condition — it is the argument that kills the 'you just added stimulation' objection.</w:t>
      </w:r>
    </w:p>
    <w:p>
      <w:pPr>
        <w:pStyle w:val="Heading2"/>
        <w:spacing w:after="120" w:before="240"/>
      </w:pPr>
      <w:r>
        <w:rPr>
          <w:rFonts w:ascii="Lato" w:cs="Lato" w:eastAsia="Lato" w:hAnsi="Lato"/>
          <w:b/>
          <w:bCs/>
          <w:color w:val="2E6E8E"/>
          <w:sz w:val="24"/>
          <w:szCs w:val="24"/>
        </w:rPr>
        <w:t xml:space="preserve">3.3 Pre-registered primary outcomes (four, fixed before the first full run)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Recovery half-life </w:t>
      </w:r>
      <w:r>
        <w:rPr>
          <w:rFonts w:ascii="Georgia" w:cs="Georgia" w:eastAsia="Georgia" w:hAnsi="Georgia"/>
          <w:sz w:val="22"/>
          <w:szCs w:val="22"/>
        </w:rPr>
        <w:t xml:space="preserve">after a standardized shock (targeted hub removal): time for designated network functions to return to a defined band.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Fragmentation trajectory: </w:t>
      </w:r>
      <w:r>
        <w:rPr>
          <w:rFonts w:ascii="Georgia" w:cs="Georgia" w:eastAsia="Georgia" w:hAnsi="Georgia"/>
          <w:sz w:val="22"/>
          <w:szCs w:val="22"/>
        </w:rPr>
        <w:t xml:space="preserve">number and size distribution of weakly connected communities over time.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Cooperation rate: </w:t>
      </w:r>
      <w:r>
        <w:rPr>
          <w:rFonts w:ascii="Georgia" w:cs="Georgia" w:eastAsia="Georgia" w:hAnsi="Georgia"/>
          <w:sz w:val="22"/>
          <w:szCs w:val="22"/>
        </w:rPr>
        <w:t xml:space="preserve">frequency of costly-helping interactions per capita.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Self-model correspondence: </w:t>
      </w:r>
      <w:r>
        <w:rPr>
          <w:rFonts w:ascii="Georgia" w:cs="Georgia" w:eastAsia="Georgia" w:hAnsi="Georgia"/>
          <w:sz w:val="22"/>
          <w:szCs w:val="22"/>
        </w:rPr>
        <w:t xml:space="preserve">gap between broadcast S(t) and measured macrostate — in Condition F, the tracked variable is whether reality converges toward the false description (self-fulfilling) or away from it (self-defeating).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All other v1 measurement families (entropy, diversity, inequality, legacy, novelty…) are still computed and logged — as secondary, exploratory outcomes, clearly labelled as such. This preserves the richness while protecting the paper from the metric-shopping accusation.</w:t>
      </w:r>
    </w:p>
    <w:p>
      <w:pPr>
        <w:pStyle w:val="Heading1"/>
        <w:spacing w:after="160" w:before="360"/>
      </w:pPr>
      <w:r>
        <w:rPr>
          <w:rFonts w:ascii="Lato" w:cs="Lato" w:eastAsia="Lato" w:hAnsi="Lato"/>
          <w:b/>
          <w:bCs/>
          <w:color w:val="1F3856"/>
          <w:sz w:val="30"/>
          <w:szCs w:val="30"/>
        </w:rPr>
        <w:t xml:space="preserve">4. Minimal Build (What Actually Gets Coded)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Python; Mesa as reference, custom light engine if profiling demands; NetworkX for graph metrics; a single deterministic process, seeded, replayable. Rule-based trait-vector agents exactly as specified in v1 Appendix A — no LLMs, no learning, in version one. Four datasets: nodes, edges, events, global states. One live dashboard (global view + inspect-one-agent view) because it doubles as the demo that sells the project.</w:t>
      </w:r>
    </w:p>
    <w:tbl>
      <w:tblPr>
        <w:tblW w:type="dxa" w:w="970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AAB7C4" w:sz="4"/>
          <w:insideV w:val="single" w:color="AAB7C4" w:sz="4"/>
        </w:tblBorders>
      </w:tblPr>
      <w:tblGrid>
        <w:gridCol w:w="4850"/>
        <w:gridCol w:w="4850"/>
      </w:tblGrid>
      <w:tr>
        <w:trPr>
          <w:tblHeader/>
        </w:trPr>
        <w:tc>
          <w:tcPr>
            <w:tcW w:type="dxa" w:w="4850"/>
            <w:shd w:fill="DCE6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Lato" w:cs="Lato" w:eastAsia="Lato" w:hAnsi="Lato"/>
                <w:b/>
                <w:bCs/>
                <w:color w:val="1F3856"/>
                <w:sz w:val="20"/>
                <w:szCs w:val="20"/>
              </w:rPr>
              <w:t xml:space="preserve">Module (kept from v1)</w:t>
            </w:r>
          </w:p>
        </w:tc>
        <w:tc>
          <w:tcPr>
            <w:tcW w:type="dxa" w:w="4850"/>
            <w:shd w:fill="DCE6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Lato" w:cs="Lato" w:eastAsia="Lato" w:hAnsi="Lato"/>
                <w:b/>
                <w:bCs/>
                <w:color w:val="1F3856"/>
                <w:sz w:val="20"/>
                <w:szCs w:val="20"/>
              </w:rPr>
              <w:t xml:space="preserve">v2 scope decision</w:t>
            </w:r>
          </w:p>
        </w:tc>
      </w:tr>
      <w:tr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Simulation / Agents / Environment / Network / Lifecycle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Build in full — this is the world</w:t>
            </w:r>
          </w:p>
        </w:tc>
      </w:tr>
      <w:tr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Memory (individual, lineage, global)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Individual + global only; cultural copying deferred</w:t>
            </w:r>
          </w:p>
        </w:tc>
      </w:tr>
      <w:tr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Observer + Feedback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Build in full — the scientific instrument</w:t>
            </w:r>
          </w:p>
        </w:tc>
      </w:tr>
      <w:tr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Experiments + Storage + Analysis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Build in full — credibility lives here</w:t>
            </w:r>
          </w:p>
        </w:tc>
      </w:tr>
      <w:tr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Narrative/LLM interface, controller, multi-observer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Deferred (Section 8)</w:t>
            </w:r>
          </w:p>
        </w:tc>
      </w:tr>
    </w:tbl>
    <w:p>
      <w:pPr>
        <w:spacing w:before="14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Exit test for the build phase, unchanged from v1: stable long runs with exact seed replay; population survives without trivial explosion or collapse; validated metric pipeline.</w:t>
      </w:r>
    </w:p>
    <w:p>
      <w:pPr>
        <w:pStyle w:val="Heading1"/>
        <w:spacing w:after="160" w:before="360"/>
      </w:pPr>
      <w:r>
        <w:rPr>
          <w:rFonts w:ascii="Lato" w:cs="Lato" w:eastAsia="Lato" w:hAnsi="Lato"/>
          <w:b/>
          <w:bCs/>
          <w:color w:val="1F3856"/>
          <w:sz w:val="30"/>
          <w:szCs w:val="30"/>
        </w:rPr>
        <w:t xml:space="preserve">5. Reach: How This Gets Seen and Supported</w:t>
      </w:r>
    </w:p>
    <w:p>
      <w:pPr>
        <w:pStyle w:val="Heading2"/>
        <w:spacing w:after="120" w:before="240"/>
      </w:pPr>
      <w:r>
        <w:rPr>
          <w:rFonts w:ascii="Lato" w:cs="Lato" w:eastAsia="Lato" w:hAnsi="Lato"/>
          <w:b/>
          <w:bCs/>
          <w:color w:val="2E6E8E"/>
          <w:sz w:val="24"/>
          <w:szCs w:val="24"/>
        </w:rPr>
        <w:t xml:space="preserve">5.1 The artifact ladder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Repo first. </w:t>
      </w:r>
      <w:r>
        <w:rPr>
          <w:rFonts w:ascii="Georgia" w:cs="Georgia" w:eastAsia="Georgia" w:hAnsi="Georgia"/>
          <w:sz w:val="22"/>
          <w:szCs w:val="22"/>
        </w:rPr>
        <w:t xml:space="preserve">A public GitHub repository with one-command reproduction of every figure (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run.py --condition C --seeds 50</w:t>
      </w:r>
      <w:r>
        <w:rPr>
          <w:rFonts w:ascii="Georgia" w:cs="Georgia" w:eastAsia="Georgia" w:hAnsi="Georgia"/>
          <w:sz w:val="22"/>
          <w:szCs w:val="22"/>
        </w:rPr>
        <w:t xml:space="preserve">), a README that opens with the false-self-model result, and an animated GIF of the dashboard. For an independent researcher, the repo is the credential.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Preprint second. </w:t>
      </w:r>
      <w:r>
        <w:rPr>
          <w:rFonts w:ascii="Georgia" w:cs="Georgia" w:eastAsia="Georgia" w:hAnsi="Georgia"/>
          <w:sz w:val="22"/>
          <w:szCs w:val="22"/>
        </w:rPr>
        <w:t xml:space="preserve">An arXiv preprint (cs.MA, cross-listed nlin.AO) as soon as the A/B/C/F/N comparison is solid. The preprint is what you attach to every cold email; it converts 'interesting idea' into 'existing work.'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Peer review third. </w:t>
      </w:r>
      <w:r>
        <w:rPr>
          <w:rFonts w:ascii="Georgia" w:cs="Georgia" w:eastAsia="Georgia" w:hAnsi="Georgia"/>
          <w:sz w:val="22"/>
          <w:szCs w:val="22"/>
        </w:rPr>
        <w:t xml:space="preserve">Target order: ALIFE conference (the community most native to this work, and unusually welcoming to independent researchers), then a journal version in Artificial Life (MIT Press) or JASSS. PLOS Complex Systems is a credible alternative. Mainstream ML venues are explicitly not the target for Paper 1 — they become reachable at Phase L (LLM agents), when the question 'what happens when an agent population is told its own collective state' is asked about the systems ML labs actually deploy.</w:t>
      </w:r>
    </w:p>
    <w:p>
      <w:pPr>
        <w:pStyle w:val="Heading2"/>
        <w:spacing w:after="120" w:before="240"/>
      </w:pPr>
      <w:r>
        <w:rPr>
          <w:rFonts w:ascii="Lato" w:cs="Lato" w:eastAsia="Lato" w:hAnsi="Lato"/>
          <w:b/>
          <w:bCs/>
          <w:color w:val="2E6E8E"/>
          <w:sz w:val="24"/>
          <w:szCs w:val="24"/>
        </w:rPr>
        <w:t xml:space="preserve">5.2 Framing per audience (same result, three pitches)</w:t>
      </w:r>
    </w:p>
    <w:tbl>
      <w:tblPr>
        <w:tblW w:type="dxa" w:w="970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AAB7C4" w:sz="4"/>
          <w:insideV w:val="single" w:color="AAB7C4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DCE6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Lato" w:cs="Lato" w:eastAsia="Lato" w:hAnsi="Lato"/>
                <w:b/>
                <w:bCs/>
                <w:color w:val="1F3856"/>
                <w:sz w:val="20"/>
                <w:szCs w:val="20"/>
              </w:rPr>
              <w:t xml:space="preserve">Audience</w:t>
            </w:r>
          </w:p>
        </w:tc>
        <w:tc>
          <w:tcPr>
            <w:tcW w:type="dxa" w:w="7100"/>
            <w:shd w:fill="DCE6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Lato" w:cs="Lato" w:eastAsia="Lato" w:hAnsi="Lato"/>
                <w:b/>
                <w:bCs/>
                <w:color w:val="1F3856"/>
                <w:sz w:val="20"/>
                <w:szCs w:val="20"/>
              </w:rPr>
              <w:t xml:space="preserve">One-line pitch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ALife / complex systems</w:t>
            </w:r>
          </w:p>
        </w:tc>
        <w:tc>
          <w:tcPr>
            <w:tcW w:type="dxa" w:w="7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A controlled laboratory for reflexive self-modelling: a system altered by information it carries about itself, with ablations that isolate the mechanism.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AI/ML &amp; multi-agent safety</w:t>
            </w:r>
          </w:p>
        </w:tc>
        <w:tc>
          <w:tcPr>
            <w:tcW w:type="dxa" w:w="7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LLM-agent collectives are already being fed dashboards about themselves; nobody has clean causal evidence of what self-measurement does to an agent population. This is the minimal system where that is testable.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Funders / general audience</w:t>
            </w:r>
          </w:p>
        </w:tc>
        <w:tc>
          <w:tcPr>
            <w:tcW w:type="dxa" w:w="7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When a system is told a false story about itself, does the story come true? We built a world where you can run that experiment.</w:t>
            </w:r>
          </w:p>
        </w:tc>
      </w:tr>
    </w:tbl>
    <w:p>
      <w:pPr>
        <w:pStyle w:val="Heading2"/>
        <w:spacing w:after="120" w:before="240"/>
      </w:pPr>
      <w:r>
        <w:rPr>
          <w:rFonts w:ascii="Lato" w:cs="Lato" w:eastAsia="Lato" w:hAnsi="Lato"/>
          <w:b/>
          <w:bCs/>
          <w:color w:val="2E6E8E"/>
          <w:sz w:val="24"/>
          <w:szCs w:val="24"/>
        </w:rPr>
        <w:t xml:space="preserve">5.3 Outreach sequence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Post the preprint + repo to the ALife community channels and relevant complex-systems forums; submit to the next ALIFE conference cycle (workshop track acceptable — the goal is entry into the community).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Cold-email 5–10 researchers whose work the paper genuinely builds on (causal emergence, open-ended evolution, agent-based social simulation, consciousness-indicator authors already cited in v1) — two paragraphs, one figure, link to repo. Ask for criticism, not endorsement; criticism converts to collaboration.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In India, approach complex-systems groups (IMSc Chennai, IISc, IIT complex-systems/network-science groups) for a seminar slot — a working demo is a strong seminar, and seminars are how lab relationships actually start.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Only after Paper 1 exists: pitch the LLM-agent extension to ML-adjacent labs and safety-oriented groups as a funded/hosted continuation, with the rule-based results as the causal-clean foundation.</w:t>
      </w:r>
    </w:p>
    <w:p>
      <w:pPr>
        <w:pStyle w:val="Heading1"/>
        <w:spacing w:after="160" w:before="360"/>
      </w:pPr>
      <w:r>
        <w:rPr>
          <w:rFonts w:ascii="Lato" w:cs="Lato" w:eastAsia="Lato" w:hAnsi="Lato"/>
          <w:b/>
          <w:bCs/>
          <w:color w:val="1F3856"/>
          <w:sz w:val="30"/>
          <w:szCs w:val="30"/>
        </w:rPr>
        <w:t xml:space="preserve">6. Roadmap With Dates</w:t>
      </w:r>
    </w:p>
    <w:tbl>
      <w:tblPr>
        <w:tblW w:type="dxa" w:w="970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AAB7C4" w:sz="4"/>
          <w:insideV w:val="single" w:color="AAB7C4" w:sz="4"/>
        </w:tblBorders>
      </w:tblPr>
      <w:tblGrid>
        <w:gridCol w:w="2100"/>
        <w:gridCol w:w="5000"/>
        <w:gridCol w:w="2600"/>
      </w:tblGrid>
      <w:tr>
        <w:trPr>
          <w:tblHeader/>
        </w:trPr>
        <w:tc>
          <w:tcPr>
            <w:tcW w:type="dxa" w:w="2100"/>
            <w:shd w:fill="DCE6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Lato" w:cs="Lato" w:eastAsia="Lato" w:hAnsi="Lato"/>
                <w:b/>
                <w:bCs/>
                <w:color w:val="1F3856"/>
                <w:sz w:val="20"/>
                <w:szCs w:val="20"/>
              </w:rPr>
              <w:t xml:space="preserve">Milestone</w:t>
            </w:r>
          </w:p>
        </w:tc>
        <w:tc>
          <w:tcPr>
            <w:tcW w:type="dxa" w:w="5000"/>
            <w:shd w:fill="DCE6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Lato" w:cs="Lato" w:eastAsia="Lato" w:hAnsi="Lato"/>
                <w:b/>
                <w:bCs/>
                <w:color w:val="1F3856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shd w:fill="DCE6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Lato" w:cs="Lato" w:eastAsia="Lato" w:hAnsi="Lato"/>
                <w:b/>
                <w:bCs/>
                <w:color w:val="1F3856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M0 — Skeleton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Deterministic engine, agents, birth/death, event log, seed replay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Weeks 1–2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M1 — Ecology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Resources, exchange, cooperation/competition; stable non-trivial dynamics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Weeks 3–5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M2 — Instrument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Observer, S(t), storage, metric validation, dashboard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Weeks 6–8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M3 — Flagship runs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A/B/C/F/N, ≥50 seeds each, shocks, pre-registered analysis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Weeks 9–12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M4 — Preprint + repo public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arXiv submission, README, reproduction scripts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~Month 4 (Dec 2026)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M5 — ALIFE submission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Conference paper from preprint + feedback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Next ALIFE deadline (2027)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M6 — Paper 2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Continuity under total turnover (v1 §9.3/§10.3)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2027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Phase L — LLM agents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Replace trait-vector policies with LLM agents; re-run flagship; ML-venue relevance begins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eorgia" w:cs="Georgia" w:eastAsia="Georgia" w:hAnsi="Georgia"/>
                <w:sz w:val="19"/>
                <w:szCs w:val="19"/>
              </w:rPr>
              <w:t xml:space="preserve">After M5, ideally with a host lab</w:t>
            </w:r>
          </w:p>
        </w:tc>
      </w:tr>
    </w:tbl>
    <w:p>
      <w:pPr>
        <w:spacing w:before="14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Dates assume part-time solo work; they compress substantially with one collaborator. The discipline rule from v1 holds: no later phase starts until the earlier mechanism is understood.</w:t>
      </w:r>
    </w:p>
    <w:p>
      <w:pPr>
        <w:pStyle w:val="Heading1"/>
        <w:spacing w:after="160" w:before="360"/>
      </w:pPr>
      <w:r>
        <w:rPr>
          <w:rFonts w:ascii="Lato" w:cs="Lato" w:eastAsia="Lato" w:hAnsi="Lato"/>
          <w:b/>
          <w:bCs/>
          <w:color w:val="1F3856"/>
          <w:sz w:val="30"/>
          <w:szCs w:val="30"/>
        </w:rPr>
        <w:t xml:space="preserve">7. Risks and Honest Failure Modes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Breadth creep. </w:t>
      </w:r>
      <w:r>
        <w:rPr>
          <w:rFonts w:ascii="Georgia" w:cs="Georgia" w:eastAsia="Georgia" w:hAnsi="Georgia"/>
          <w:sz w:val="22"/>
          <w:szCs w:val="22"/>
        </w:rPr>
        <w:t xml:space="preserve">The single biggest risk, inherited from v1. Mitigation: the four pre-registered outcomes and five conditions are frozen; anything else is exploratory by definition.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Trivial-effect risk. </w:t>
      </w:r>
      <w:r>
        <w:rPr>
          <w:rFonts w:ascii="Georgia" w:cs="Georgia" w:eastAsia="Georgia" w:hAnsi="Georgia"/>
          <w:sz w:val="22"/>
          <w:szCs w:val="22"/>
        </w:rPr>
        <w:t xml:space="preserve">C differs from A but so does N — meaning the effect was stimulation, not self-information. This is why N is first-class. If self-information adds nothing beyond noise, that is the paper's result, published as such; it is a real finding about when self-models matter.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Positioning risk. </w:t>
      </w:r>
      <w:r>
        <w:rPr>
          <w:rFonts w:ascii="Georgia" w:cs="Georgia" w:eastAsia="Georgia" w:hAnsi="Georgia"/>
          <w:sz w:val="22"/>
          <w:szCs w:val="22"/>
        </w:rPr>
        <w:t xml:space="preserve">A reviewer maps the whole design onto mean-field coupling. Mitigation: the related-work section confronts this head-on, and the false-feedback condition — which has no mean-field analogue — carries the novelty claim.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Credibility risk. </w:t>
      </w:r>
      <w:r>
        <w:rPr>
          <w:rFonts w:ascii="Georgia" w:cs="Georgia" w:eastAsia="Georgia" w:hAnsi="Georgia"/>
          <w:sz w:val="22"/>
          <w:szCs w:val="22"/>
        </w:rPr>
        <w:t xml:space="preserve">Metaphysical framing leaks into the science. Mitigation: one motivation paragraph, a research note like v1's, and never the word consciousness in a claim.</w:t>
      </w:r>
    </w:p>
    <w:p>
      <w:pPr>
        <w:pStyle w:val="Heading1"/>
        <w:spacing w:after="160" w:before="360"/>
      </w:pPr>
      <w:r>
        <w:rPr>
          <w:rFonts w:ascii="Lato" w:cs="Lato" w:eastAsia="Lato" w:hAnsi="Lato"/>
          <w:b/>
          <w:bCs/>
          <w:color w:val="1F3856"/>
          <w:sz w:val="30"/>
          <w:szCs w:val="30"/>
        </w:rPr>
        <w:t xml:space="preserve">8. The Deferred Programme (Nothing Is Lost)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Kept, in order of likely return: historical/trend feedback and global memory (D); homeostatic regulation and the whole-versus-parts value tension (E); competing observers; the observer moved inside the world (the philosophically deepest step — it becomes Paper 3 or 4, not Paper 1); nested selves; distributed real nodes; and far-future human/AI participation with its full ethical framework. Each becomes compelling only after the flagship establishes that the minimal loop does something worth extending — and each is a ready-made 'future work' section that signals vision to labs without spending credibility now.</w:t>
      </w:r>
    </w:p>
    <w:p>
      <w:pPr>
        <w:pStyle w:val="Heading1"/>
        <w:spacing w:after="160" w:before="360"/>
      </w:pPr>
      <w:r>
        <w:rPr>
          <w:rFonts w:ascii="Lato" w:cs="Lato" w:eastAsia="Lato" w:hAnsi="Lato"/>
          <w:b/>
          <w:bCs/>
          <w:color w:val="1F3856"/>
          <w:sz w:val="30"/>
          <w:szCs w:val="30"/>
        </w:rPr>
        <w:t xml:space="preserve">9. The Plan in One Paragraph</w:t>
      </w:r>
    </w:p>
    <w:p>
      <w:pPr>
        <w:spacing w:after="140" w:line="3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Build the minimal world in eight weeks. Run one flagship comparison — no feedback, true feedback, false feedback, noise — with four pre-registered outcomes and fifty seeds per condition. Publish the repo and preprint by December 2026, submit to ALIFE, and take the working demo on the road to complex-systems groups. Lead every conversation with the false-self-model result, pitch the LLM-agent phase as the funded continuation, and keep the ocean and the waves for the last slide of the talk.</w:t>
      </w:r>
    </w:p>
    <w:p>
      <w:pPr>
        <w:spacing w:after="160" w:before="60" w:line="300"/>
        <w:ind w:left="480" w:right="480"/>
      </w:pPr>
      <w:r>
        <w:rPr>
          <w:rFonts w:ascii="Georgia" w:cs="Georgia" w:eastAsia="Georgia" w:hAnsi="Georgia"/>
          <w:i/>
          <w:iCs/>
          <w:color w:val="1F3856"/>
          <w:sz w:val="22"/>
          <w:szCs w:val="22"/>
        </w:rPr>
        <w:t xml:space="preserve">Version 1 asked: what happens when the ocean keeps a record of its own tides? Version 2 adds the sharper question that will carry it into the world: what happens when the record is wrong — and the tides believe it?</w:t>
      </w:r>
    </w:p>
    <w:sectPr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2026-08-17T09:54:47.182Z</dcterms:created>
  <dcterms:modified xsi:type="dcterms:W3CDTF">2026-08-17T09:54:47.206Z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