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Taiwan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1,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Taiwan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1,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Macatuno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Allana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57687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Carmona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Aya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45678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