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_rels\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\_rels\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\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\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\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\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\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\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5</cp:revision>
  <cp:lastPrinted>2025-02-11T06:31:00Z</cp:lastPrinted>
  <dcterms:created xsi:type="dcterms:W3CDTF">2025-04-24T08:30:00Z</dcterms:created>
  <dcterms:modified xsi:type="dcterms:W3CDTF">2025-05-12T13:08:00Z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\_rels\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\_rels\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dsdddds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361FC5BA" w:rsidR="00317A98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D2613A">
        <w:rPr>
          <w:rFonts w:ascii="Arial" w:hAnsi="Arial" w:cs="Arial"/>
          <w:noProof/>
        </w:rPr>
        <w:t>{{image}}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BC8E6" w14:textId="77777777" w:rsidR="00BE7349" w:rsidRDefault="00BE7349" w:rsidP="006D4FB8">
      <w:r>
        <w:separator/>
      </w:r>
    </w:p>
  </w:endnote>
  <w:endnote w:type="continuationSeparator" w:id="0">
    <w:p w14:paraId="19364432" w14:textId="77777777" w:rsidR="00BE7349" w:rsidRDefault="00BE7349" w:rsidP="006D4FB8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98DE" w14:textId="77777777" w:rsidR="00BE7349" w:rsidRDefault="00BE7349" w:rsidP="006D4FB8">
      <w:r>
        <w:separator/>
      </w:r>
    </w:p>
  </w:footnote>
  <w:footnote w:type="continuationSeparator" w:id="0">
    <w:p w14:paraId="5B12B270" w14:textId="77777777" w:rsidR="00BE7349" w:rsidRDefault="00BE7349" w:rsidP="006D4FB8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57F7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5384784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3083154A" wp14:editId="2FD4946C">
            <wp:extent cx="575310" cy="359410"/>
            <wp:effectExtent l="0" t="0" r="0" b="0"/>
            <wp:docPr id="1255384784" name="Picture 12553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