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AB83" w14:textId="4F0C98C2" w:rsidR="00C33025" w:rsidRPr="00C33025" w:rsidRDefault="00C33025" w:rsidP="00C33025">
      <w:pPr>
        <w:pStyle w:val="Prrafodelista"/>
        <w:numPr>
          <w:ilvl w:val="0"/>
          <w:numId w:val="1"/>
        </w:numPr>
      </w:pPr>
      <w:r w:rsidRPr="00C33025">
        <w:t xml:space="preserve">Cuando la propiedad </w:t>
      </w:r>
      <w:proofErr w:type="spellStart"/>
      <w:r w:rsidRPr="00C33025">
        <w:t>flex-direction</w:t>
      </w:r>
      <w:proofErr w:type="spellEnd"/>
      <w:r w:rsidRPr="00C33025">
        <w:t xml:space="preserve">: </w:t>
      </w:r>
      <w:proofErr w:type="spellStart"/>
      <w:r w:rsidRPr="00C33025">
        <w:t>column</w:t>
      </w:r>
      <w:proofErr w:type="spellEnd"/>
      <w:r w:rsidRPr="00C33025">
        <w:t xml:space="preserve"> está activa, los ejes del contenedor rotan por completo. El eje principal pasa a ser vertical, lo que significa que la propiedad </w:t>
      </w:r>
      <w:proofErr w:type="spellStart"/>
      <w:r w:rsidRPr="00C33025">
        <w:t>justify-content</w:t>
      </w:r>
      <w:proofErr w:type="spellEnd"/>
      <w:r w:rsidRPr="00C33025">
        <w:t xml:space="preserve">: </w:t>
      </w:r>
      <w:proofErr w:type="spellStart"/>
      <w:r w:rsidRPr="00C33025">
        <w:t>flex-end</w:t>
      </w:r>
      <w:proofErr w:type="spellEnd"/>
      <w:r w:rsidRPr="00C33025">
        <w:t xml:space="preserve"> ya no mueve los elementos hacia la derecha de la pantalla, sino que los empuja hacia abajo, pegándolos al fondo del contenedor. </w:t>
      </w:r>
    </w:p>
    <w:p w14:paraId="2E5DA033" w14:textId="24A9852B" w:rsidR="00C33025" w:rsidRPr="00C33025" w:rsidRDefault="00C33025" w:rsidP="00C33025">
      <w:pPr>
        <w:pStyle w:val="Prrafodelista"/>
        <w:numPr>
          <w:ilvl w:val="0"/>
          <w:numId w:val="1"/>
        </w:numPr>
      </w:pPr>
      <w:r w:rsidRPr="00C33025">
        <w:t xml:space="preserve">Al cambiar el flujo a columna, </w:t>
      </w:r>
      <w:r w:rsidRPr="00C33025">
        <w:rPr>
          <w:i/>
          <w:iCs/>
        </w:rPr>
        <w:t>Cross Axis</w:t>
      </w:r>
      <w:r w:rsidRPr="00C33025">
        <w:t xml:space="preserve"> se vuelve horizontal. Por lo tanto, la propiedad </w:t>
      </w:r>
      <w:proofErr w:type="spellStart"/>
      <w:r w:rsidRPr="00C33025">
        <w:t>align-items</w:t>
      </w:r>
      <w:proofErr w:type="spellEnd"/>
      <w:r w:rsidRPr="00C33025">
        <w:t xml:space="preserve">: center pasa a controlar la alineación de izquierda a derecha, centrando los botones horizontalmente en medio de la barra de herramientas, en lugar de regular su altura vertical. </w:t>
      </w:r>
    </w:p>
    <w:p w14:paraId="0E4019B2" w14:textId="77777777" w:rsidR="00C33025" w:rsidRDefault="00C33025" w:rsidP="00C33025">
      <w:pPr>
        <w:pStyle w:val="Prrafodelista"/>
        <w:numPr>
          <w:ilvl w:val="0"/>
          <w:numId w:val="1"/>
        </w:numPr>
      </w:pPr>
      <w:r w:rsidRPr="00C33025">
        <w:t>Para que los botones se ubiquen a la derecha y queden centrados verticalmente, el error principal radica en haber forzado el modo columna. La forma correcta de solucionarlo es mantener el contenedor en su comportamiento por defecto eliminando esa línea</w:t>
      </w:r>
      <w:r>
        <w:t>:</w:t>
      </w:r>
    </w:p>
    <w:p w14:paraId="58D795AC" w14:textId="6C4E2DCE" w:rsidR="00C33025" w:rsidRPr="00C33025" w:rsidRDefault="00C33025" w:rsidP="00C33025">
      <w:pPr>
        <w:pStyle w:val="Prrafodelista"/>
        <w:ind w:left="360"/>
      </w:pPr>
      <w:r w:rsidRPr="00C33025">
        <w:t xml:space="preserve"> </w:t>
      </w:r>
    </w:p>
    <w:p w14:paraId="4D454F5C" w14:textId="77777777" w:rsidR="00C33025" w:rsidRPr="00C33025" w:rsidRDefault="00C33025" w:rsidP="00C33025">
      <w:pPr>
        <w:ind w:left="708"/>
      </w:pPr>
      <w:proofErr w:type="gramStart"/>
      <w:r w:rsidRPr="00C33025">
        <w:t>.</w:t>
      </w:r>
      <w:proofErr w:type="spellStart"/>
      <w:r w:rsidRPr="00C33025">
        <w:t>toolbar</w:t>
      </w:r>
      <w:proofErr w:type="spellEnd"/>
      <w:proofErr w:type="gramEnd"/>
      <w:r w:rsidRPr="00C33025">
        <w:t xml:space="preserve"> {</w:t>
      </w:r>
    </w:p>
    <w:p w14:paraId="77026BEA" w14:textId="4C267DD5" w:rsidR="00C33025" w:rsidRPr="00C33025" w:rsidRDefault="00C33025" w:rsidP="00C33025">
      <w:pPr>
        <w:ind w:left="708"/>
      </w:pPr>
      <w:r w:rsidRPr="00C33025">
        <w:t xml:space="preserve">  </w:t>
      </w:r>
      <w:proofErr w:type="spellStart"/>
      <w:r w:rsidRPr="00C33025">
        <w:t>display</w:t>
      </w:r>
      <w:proofErr w:type="spellEnd"/>
      <w:r w:rsidRPr="00C33025">
        <w:t xml:space="preserve">: </w:t>
      </w:r>
      <w:proofErr w:type="spellStart"/>
      <w:r w:rsidRPr="00C33025">
        <w:t>flex</w:t>
      </w:r>
      <w:proofErr w:type="spellEnd"/>
      <w:r w:rsidRPr="00C33025">
        <w:t xml:space="preserve">;             </w:t>
      </w:r>
    </w:p>
    <w:p w14:paraId="32F2D4A3" w14:textId="7BB628BF" w:rsidR="00C33025" w:rsidRPr="00C33025" w:rsidRDefault="00C33025" w:rsidP="00C33025">
      <w:pPr>
        <w:ind w:left="708"/>
      </w:pPr>
      <w:r w:rsidRPr="00C33025">
        <w:t xml:space="preserve">  </w:t>
      </w:r>
      <w:proofErr w:type="spellStart"/>
      <w:r w:rsidRPr="00C33025">
        <w:t>justify-content</w:t>
      </w:r>
      <w:proofErr w:type="spellEnd"/>
      <w:r w:rsidRPr="00C33025">
        <w:t xml:space="preserve">: </w:t>
      </w:r>
      <w:proofErr w:type="spellStart"/>
      <w:r w:rsidRPr="00C33025">
        <w:t>flex-end</w:t>
      </w:r>
      <w:proofErr w:type="spellEnd"/>
      <w:r w:rsidRPr="00C33025">
        <w:t xml:space="preserve">; </w:t>
      </w:r>
    </w:p>
    <w:p w14:paraId="28D448F5" w14:textId="19B1FCE7" w:rsidR="00C33025" w:rsidRPr="00C33025" w:rsidRDefault="00C33025" w:rsidP="00C33025">
      <w:pPr>
        <w:ind w:left="708"/>
      </w:pPr>
      <w:r w:rsidRPr="00C33025">
        <w:t xml:space="preserve">  </w:t>
      </w:r>
      <w:proofErr w:type="spellStart"/>
      <w:r w:rsidRPr="00C33025">
        <w:t>align-items</w:t>
      </w:r>
      <w:proofErr w:type="spellEnd"/>
      <w:r w:rsidRPr="00C33025">
        <w:t xml:space="preserve">: center;        </w:t>
      </w:r>
    </w:p>
    <w:p w14:paraId="72FFAD60" w14:textId="16461576" w:rsidR="00C33025" w:rsidRPr="00C33025" w:rsidRDefault="00C33025" w:rsidP="00C33025">
      <w:pPr>
        <w:ind w:left="708"/>
      </w:pPr>
      <w:r w:rsidRPr="00C33025">
        <w:t xml:space="preserve">  </w:t>
      </w:r>
      <w:proofErr w:type="spellStart"/>
      <w:r w:rsidRPr="00C33025">
        <w:t>height</w:t>
      </w:r>
      <w:proofErr w:type="spellEnd"/>
      <w:r w:rsidRPr="00C33025">
        <w:t xml:space="preserve">: 80px;              </w:t>
      </w:r>
    </w:p>
    <w:p w14:paraId="55AB3BED" w14:textId="77777777" w:rsidR="00C33025" w:rsidRPr="00C33025" w:rsidRDefault="00C33025" w:rsidP="00C33025">
      <w:pPr>
        <w:ind w:left="708"/>
      </w:pPr>
      <w:r w:rsidRPr="00C33025">
        <w:t>}</w:t>
      </w:r>
    </w:p>
    <w:p w14:paraId="5E31F657" w14:textId="77777777" w:rsidR="006C3FAD" w:rsidRDefault="006C3FAD"/>
    <w:sectPr w:rsidR="006C3F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70A2E"/>
    <w:multiLevelType w:val="hybridMultilevel"/>
    <w:tmpl w:val="FD7E4F3A"/>
    <w:lvl w:ilvl="0" w:tplc="F0FA356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54655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AD"/>
    <w:rsid w:val="006C3FAD"/>
    <w:rsid w:val="00C33025"/>
    <w:rsid w:val="00E5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4417F"/>
  <w15:chartTrackingRefBased/>
  <w15:docId w15:val="{4EBEB634-0841-4494-8906-35FDD6632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3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3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3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3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3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3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3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3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3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3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3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3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3F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3F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3F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3F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3F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3F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3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3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3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3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3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3F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3F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3F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3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3F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3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847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2</cp:revision>
  <dcterms:created xsi:type="dcterms:W3CDTF">2026-06-09T21:23:00Z</dcterms:created>
  <dcterms:modified xsi:type="dcterms:W3CDTF">2026-06-09T21:25:00Z</dcterms:modified>
</cp:coreProperties>
</file>