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theme/theme1.xml" ContentType="application/vnd.openxmlformats-officedocument.theme+xml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2119"/>
        <w:gridCol w:w="5940"/>
        <w:gridCol w:w="1439"/>
      </w:tblGrid>
      <w:tr>
        <w:trPr/>
        <w:tc>
          <w:tcPr>
            <w:tcW w:w="2119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79" w:leader="none"/>
              </w:tabs>
              <w:snapToGrid w:val="false"/>
              <w:jc w:val="both"/>
              <w:rPr/>
            </w:pPr>
            <w:r>
              <w:rPr/>
              <w:drawing>
                <wp:inline distT="0" distB="0" distL="0" distR="0">
                  <wp:extent cx="1200150" cy="742950"/>
                  <wp:effectExtent l="0" t="0" r="0" b="0"/>
                  <wp:docPr id="1" name="ole_rI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5940" w:type="dxa"/>
            <w:tcBorders/>
            <w:shd w:color="auto"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/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/>
            </w:pPr>
            <w:r>
              <w:rPr/>
            </w:r>
            <w:bookmarkStart w:id="0" w:name="_Hlk57958282"/>
            <w:bookmarkStart w:id="1" w:name="_Hlk57958282"/>
            <w:bookmarkEnd w:id="1"/>
          </w:p>
        </w:tc>
        <w:tc>
          <w:tcPr>
            <w:tcW w:w="1439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 w:dxaOrig="3120" w:dyaOrig="3230">
                <v:shape id="ole_rId3" style="width:28.5pt;height:28.5pt" o:ole="">
                  <v:imagedata r:id="rId4" o:title=""/>
                </v:shape>
                <o:OLEObject Type="Embed" ProgID="PBrush" ShapeID="ole_rId3" DrawAspect="Content" ObjectID="_1134653392" r:id="rId3"/>
              </w:object>
            </w:r>
          </w:p>
        </w:tc>
      </w:tr>
    </w:tbl>
    <w:p>
      <w:pPr>
        <w:pStyle w:val="Caption"/>
        <w:rPr/>
      </w:pPr>
      <w:r>
        <w:rPr/>
      </w:r>
    </w:p>
    <w:p>
      <w:pPr>
        <w:pStyle w:val="Caption"/>
        <w:rPr/>
      </w:pPr>
      <w:r>
        <w:rPr>
          <w:i w:val="false"/>
          <w:iCs/>
          <w:sz w:val="28"/>
        </w:rPr>
        <w:t>TERMO DE VERIFICAÇÃO</w:t>
      </w:r>
    </w:p>
    <w:p>
      <w:pPr>
        <w:pStyle w:val="Caption"/>
        <w:rPr/>
      </w:pPr>
      <w:r>
        <w:rPr>
          <w:sz w:val="38"/>
          <w:szCs w:val="38"/>
        </w:rPr>
        <w:t>Ficha de Carga {ovr_id} – Verificação Física/RVF nº {rvf_id}</w:t>
      </w:r>
      <w:r>
        <w:rPr/>
        <w:t xml:space="preserve"> </w:t>
        <w:tab/>
        <w:t xml:space="preserve">  </w:t>
      </w:r>
    </w:p>
    <w:p>
      <w:pPr>
        <w:pStyle w:val="Normal"/>
        <w:snapToGrid w:val="false"/>
        <w:rPr>
          <w:iCs/>
          <w:sz w:val="20"/>
        </w:rPr>
      </w:pPr>
      <w:r>
        <w:rPr>
          <w:iCs/>
          <w:sz w:val="20"/>
        </w:rPr>
      </w:r>
    </w:p>
    <w:tbl>
      <w:tblPr>
        <w:tblW w:w="9780" w:type="dxa"/>
        <w:jc w:val="left"/>
        <w:tblInd w:w="-2" w:type="dxa"/>
        <w:tblCellMar>
          <w:top w:w="55" w:type="dxa"/>
          <w:left w:w="46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384"/>
        <w:gridCol w:w="4395"/>
      </w:tblGrid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3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RECINTO ALFANDEGADO: {recinto}</w:t>
            </w:r>
          </w:p>
        </w:tc>
        <w:tc>
          <w:tcPr>
            <w:tcW w:w="43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3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hanging="0"/>
        <w:jc w:val="both"/>
        <w:rPr/>
      </w:pPr>
      <w:r>
        <w:rPr>
          <w:rFonts w:cs="Arial" w:ascii="Arial" w:hAnsi="Arial"/>
          <w:sz w:val="18"/>
        </w:rPr>
        <w:t>No exercício das funções de servidor de carreira de Auditoria da Receita Federal do Brasil, sob a supervisão do AFRFB responsável, no uso</w:t>
      </w:r>
      <w:r>
        <w:rPr/>
        <w:t xml:space="preserve"> </w:t>
      </w:r>
      <w:r>
        <w:rPr>
          <w:rFonts w:cs="Arial" w:ascii="Arial" w:hAnsi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>
      <w:pPr>
        <w:pStyle w:val="Normal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922" w:type="dxa"/>
        <w:jc w:val="left"/>
        <w:tblInd w:w="-2" w:type="dxa"/>
        <w:tblCellMar>
          <w:top w:w="55" w:type="dxa"/>
          <w:left w:w="46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68"/>
        <w:gridCol w:w="4253"/>
      </w:tblGrid>
      <w:tr>
        <w:trPr/>
        <w:tc>
          <w:tcPr>
            <w:tcW w:w="5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2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25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BodyText2"/>
              <w:snapToGrid w:val="false"/>
              <w:rPr/>
            </w:pPr>
            <w:r>
              <w:rPr/>
              <w:t>ITENS VERIFICADOS / QUANTIDADE DE VOLUMES VISTORIADOS</w:t>
            </w:r>
          </w:p>
          <w:p>
            <w:pPr>
              <w:pStyle w:val="BodyText2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QUANTIFICAÇÃO DA CARGA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Peso verificado: {peso}kg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Volume estimado {volume}m³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{responsavel}</w:t>
            </w:r>
          </w:p>
        </w:tc>
        <w:tc>
          <w:tcPr>
            <w:tcW w:w="4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rPr>
          <w:sz w:val="18"/>
        </w:rPr>
      </w:pPr>
      <w:r>
        <w:rPr>
          <w:sz w:val="18"/>
        </w:rPr>
      </w:r>
    </w:p>
    <w:p>
      <w:pPr>
        <w:pStyle w:val="Corpodotexto"/>
        <w:rPr>
          <w:sz w:val="18"/>
        </w:rPr>
      </w:pPr>
      <w:r>
        <w:rPr>
          <w:sz w:val="18"/>
        </w:rPr>
        <w:t xml:space="preserve">Cópia deste Termo é disponibilizada ao Recinto Alfandegado/Fiel Depositário. </w:t>
      </w:r>
    </w:p>
    <w:p>
      <w:pPr>
        <w:pStyle w:val="Corpodotexto"/>
        <w:rPr>
          <w:sz w:val="18"/>
        </w:rPr>
      </w:pPr>
      <w:r>
        <w:rPr>
          <w:sz w:val="18"/>
        </w:rPr>
        <w:t>Conforme art.6º da Portaria ALFSTS 230/2012, as filmagens desta abertura deverão estar registradas e disponíveis à RFB.</w:t>
      </w:r>
    </w:p>
    <w:p>
      <w:pPr>
        <w:pStyle w:val="Corpodotexto"/>
        <w:rPr/>
      </w:pPr>
      <w:bookmarkStart w:id="2" w:name="__DdeLink__119_2673391187"/>
      <w:r>
        <w:rPr>
          <w:sz w:val="18"/>
        </w:rPr>
        <w:t xml:space="preserve">O Recinto Alfandegado poderá fornecer, em cargas de passagem, cópia deste termo ao representante legal do exportador ou importador. </w:t>
      </w:r>
      <w:r>
        <w:rPr>
          <w:sz w:val="18"/>
        </w:rPr>
        <w:t>Já quaisquer r</w:t>
      </w:r>
      <w:r>
        <w:rPr>
          <w:sz w:val="18"/>
        </w:rPr>
        <w:t>egistro</w:t>
      </w:r>
      <w:r>
        <w:rPr>
          <w:sz w:val="18"/>
        </w:rPr>
        <w:t>s</w:t>
      </w:r>
      <w:r>
        <w:rPr>
          <w:sz w:val="18"/>
        </w:rPr>
        <w:t xml:space="preserve"> fotográfic</w:t>
      </w:r>
      <w:r>
        <w:rPr>
          <w:sz w:val="18"/>
        </w:rPr>
        <w:t>os,</w:t>
      </w:r>
      <w:r>
        <w:rPr>
          <w:sz w:val="18"/>
        </w:rPr>
        <w:t xml:space="preserve"> filmagens, </w:t>
      </w:r>
      <w:r>
        <w:rPr>
          <w:sz w:val="18"/>
        </w:rPr>
        <w:t>escaneamentos,</w:t>
      </w:r>
      <w:r>
        <w:rPr>
          <w:sz w:val="18"/>
        </w:rPr>
        <w:t xml:space="preserve"> não poderão ser fornecidos </w:t>
      </w:r>
      <w:r>
        <w:rPr>
          <w:sz w:val="18"/>
        </w:rPr>
        <w:t>a nenhum terceiro</w:t>
      </w:r>
      <w:r>
        <w:rPr>
          <w:sz w:val="18"/>
        </w:rPr>
        <w:t xml:space="preserve">, devendo ser solicitados </w:t>
      </w:r>
      <w:r>
        <w:rPr>
          <w:sz w:val="18"/>
        </w:rPr>
        <w:t xml:space="preserve">por estes </w:t>
      </w:r>
      <w:r>
        <w:rPr>
          <w:sz w:val="18"/>
        </w:rPr>
        <w:t>diretamente à RFB.</w:t>
      </w:r>
      <w:bookmarkEnd w:id="2"/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eastAsia="Times New Roman" w:cs="Times New Roman" w:ascii="Times New Roman" w:hAnsi="Times New Roman"/>
      <w:color w:val="00000A"/>
      <w:kern w:val="0"/>
      <w:sz w:val="24"/>
      <w:szCs w:val="24"/>
      <w:lang w:bidi="ar-SA" w:val="pt-BR" w:eastAsia="zh-CN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numPr>
        <w:ilvl w:val="1"/>
        <w:numId w:val="1"/>
      </w:numPr>
      <w:spacing w:lineRule="exact" w:line="280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spacing w:lineRule="exact" w:line="280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 w:val="true"/>
      <w:numPr>
        <w:ilvl w:val="4"/>
        <w:numId w:val="1"/>
      </w:numPr>
      <w:spacing w:lineRule="exact" w:line="280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 w:val="true"/>
      <w:tabs>
        <w:tab w:val="clear" w:pos="708"/>
        <w:tab w:val="left" w:pos="0" w:leader="none"/>
      </w:tabs>
      <w:spacing w:lineRule="exact" w:line="280"/>
      <w:jc w:val="both"/>
      <w:outlineLvl w:val="5"/>
    </w:pPr>
    <w:rPr>
      <w:rFonts w:ascii="Arial" w:hAnsi="Arial" w:cs="Arial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Caption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Subttulo">
    <w:name w:val="Subtitle"/>
    <w:basedOn w:val="Ttulododocumento"/>
    <w:uiPriority w:val="11"/>
    <w:qFormat/>
    <w:pPr>
      <w:jc w:val="center"/>
    </w:pPr>
    <w:rPr>
      <w:i/>
      <w:iCs/>
    </w:rPr>
  </w:style>
  <w:style w:type="paragraph" w:styleId="BodyText2">
    <w:name w:val="Body Text 2"/>
    <w:basedOn w:val="Normal"/>
    <w:qFormat/>
    <w:pPr/>
    <w:rPr>
      <w:sz w:val="2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abealho">
    <w:name w:val="Header"/>
    <w:basedOn w:val="Normal"/>
    <w:pPr>
      <w:suppressLineNumbers/>
      <w:tabs>
        <w:tab w:val="clear" w:pos="708"/>
        <w:tab w:val="center" w:pos="4323" w:leader="none"/>
        <w:tab w:val="right" w:pos="8646" w:leader="none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LibreOffice/6.2.5.2$Windows_X86_64 LibreOffice_project/1ec314fa52f458adc18c4f025c545a4e8b22c159</Application>
  <Pages>1</Pages>
  <Words>232</Words>
  <Characters>1546</Characters>
  <CharactersWithSpaces>1887</CharactersWithSpaces>
  <Paragraphs>41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2020-11-17T18:59:00Z</dcterms:created>
  <dc:creator>marcoantonio</dc:creator>
  <dc:description/>
  <dc:language>pt-BR</dc:language>
  <cp:lastModifiedBy/>
  <cp:lastPrinted>2013-01-22T16:31:00Z</cp:lastPrinted>
  <dcterms:modified xsi:type="dcterms:W3CDTF">2023-05-09T17:17:55Z</dcterms:modified>
  <cp:revision>21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