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案例名称：伺服驱动器液冷冷板</w:t>
      </w:r>
    </w:p>
    <w:p/>
    <w:p>
      <w:pPr>
        <w:pStyle w:val="Heading2"/>
      </w:pPr>
      <w:r>
        <w:t>目标</w:t>
      </w:r>
    </w:p>
    <w:p>
      <w:r>
        <w:t>为双路伺服驱动器设计一块可 CNC 加工的铝合金液冷冷板。设计用于筛选和概念验证，不得把结果描述为已经完成 CFD 或制造验证。</w:t>
      </w:r>
    </w:p>
    <w:p/>
    <w:p>
      <w:pPr>
        <w:pStyle w:val="Heading2"/>
      </w:pPr>
      <w:r>
        <w:t>热源</w:t>
      </w:r>
    </w:p>
    <w:p>
      <w:r>
        <w:t>两组功率模块分别持续耗散 180 W，总持续热负荷 360 W；系统短时峰值热负荷 480 W，持续 60 s。功率模块底板目标温度不高于 75 °C。</w:t>
      </w:r>
    </w:p>
    <w:p/>
    <w:p>
      <w:pPr>
        <w:pStyle w:val="Heading2"/>
      </w:pPr>
      <w:r>
        <w:t>环境与冷却条件</w:t>
      </w:r>
    </w:p>
    <w:p>
      <w:r>
        <w:t>最高环境温度 40 °C。冷却液入口温度 25 °C，体积流量 2.5 L/min，允许压降不超过 35 kPa。冷却液为 50% 乙二醇水溶液。</w:t>
      </w:r>
    </w:p>
    <w:p/>
    <w:p>
      <w:pPr>
        <w:pStyle w:val="Heading2"/>
      </w:pPr>
      <w:r>
        <w:t>空间包络</w:t>
      </w:r>
    </w:p>
    <w:p>
      <w:r>
        <w:t>可用包络为 280 mm × 180 mm × 24 mm。冷板安装面平面度要求 0.08 mm，四角 M6 安装孔的位置不得修改。</w:t>
      </w:r>
    </w:p>
    <w:p/>
    <w:p>
      <w:pPr>
        <w:pStyle w:val="Heading2"/>
      </w:pPr>
      <w:r>
        <w:t>材料与制造</w:t>
      </w:r>
    </w:p>
    <w:p>
      <w:r>
        <w:t>基材采用 6061-T6 铝合金。流道优先采用分层钎焊或搅拌摩擦焊密封结构。最小剩余壁厚 2.5 mm，流道到安装孔边缘的最小距离 8 mm。入口和出口使用 G1/4 螺纹接口。</w:t>
      </w:r>
    </w:p>
    <w:p/>
    <w:p>
      <w:pPr>
        <w:pStyle w:val="Heading2"/>
      </w:pPr>
      <w:r>
        <w:t>维护与安全</w:t>
      </w:r>
    </w:p>
    <w:p>
      <w:r>
        <w:t>冷板必须可拆卸。禁止让冷却液流道穿过电气连接区域。需要给出泄漏测试、耐压测试、流阻测试和热性能台架验证建议。</w:t>
      </w:r>
    </w:p>
    <w:p/>
    <w:p>
      <w:pPr>
        <w:pStyle w:val="Heading2"/>
      </w:pPr>
      <w:r>
        <w:t>输出期望</w:t>
      </w:r>
    </w:p>
    <w:p>
      <w:r>
        <w:t>给出热传递路径、候选流道结构、材料与制造建议、主要风险、未验证项目以及概念三维模型。所有生成模型都应标明“概念网格，不是可制造 CAD”。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