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280"/>
        <w:jc w:val="center"/>
      </w:pPr>
      <w:r>
        <w:rPr>
          <w:rFonts w:ascii="Noto Sans CJK SC" w:hAnsi="Noto Sans CJK SC" w:eastAsia="Noto Sans CJK SC" w:cs="Noto Sans CJK SC"/>
          <w:b/>
          <w:i w:val="0"/>
          <w:color w:val="1F7A8C"/>
          <w:sz w:val="32"/>
        </w:rPr>
        <w:t>多层设计外包场景下</w:t>
      </w:r>
    </w:p>
    <w:p>
      <w:pPr>
        <w:pStyle w:val="Title"/>
        <w:jc w:val="center"/>
      </w:pPr>
      <w:r>
        <w:rPr>
          <w:rFonts w:ascii="Noto Sans CJK SC" w:hAnsi="Noto Sans CJK SC" w:eastAsia="Noto Sans CJK SC" w:cs="Noto Sans CJK SC"/>
          <w:b/>
          <w:i w:val="0"/>
          <w:color w:val="17365D"/>
          <w:sz w:val="54"/>
        </w:rPr>
        <w:t>自由设计师职业贡献凭证项目</w:t>
      </w:r>
    </w:p>
    <w:p>
      <w:pPr>
        <w:keepNext w:val="0"/>
        <w:keepLines w:val="0"/>
        <w:spacing w:before="0" w:after="440" w:line="288" w:lineRule="auto"/>
        <w:jc w:val="center"/>
      </w:pPr>
      <w:r>
        <w:rPr>
          <w:rFonts w:ascii="Noto Sans CJK SC" w:hAnsi="Noto Sans CJK SC" w:eastAsia="Noto Sans CJK SC" w:cs="Noto Sans CJK SC"/>
          <w:b/>
          <w:i w:val="0"/>
          <w:color w:val="2F5597"/>
          <w:sz w:val="38"/>
        </w:rPr>
        <w:t>最小可行产品（MVP）需求文档</w:t>
      </w:r>
    </w:p>
    <w:p>
      <w:pPr>
        <w:keepNext w:val="0"/>
        <w:keepLines w:val="0"/>
        <w:spacing w:before="0" w:after="360" w:line="348" w:lineRule="auto"/>
        <w:jc w:val="center"/>
      </w:pPr>
      <w:r>
        <w:rPr>
          <w:rFonts w:ascii="Noto Sans CJK SC" w:hAnsi="Noto Sans CJK SC" w:eastAsia="Noto Sans CJK SC" w:cs="Noto Sans CJK SC"/>
          <w:b w:val="0"/>
          <w:i w:val="0"/>
          <w:color w:val="1F7A8C"/>
          <w:sz w:val="20"/>
        </w:rPr>
        <w:t>━━━━━━━━━━━━━━━━━━━━</w:t>
      </w:r>
    </w:p>
    <w:p>
      <w:pPr>
        <w:keepNext w:val="0"/>
        <w:keepLines w:val="0"/>
        <w:spacing w:before="0" w:after="160" w:line="288" w:lineRule="auto"/>
        <w:jc w:val="center"/>
      </w:pPr>
      <w:r>
        <w:rPr>
          <w:rFonts w:ascii="Noto Sans CJK SC" w:hAnsi="Noto Sans CJK SC" w:eastAsia="Noto Sans CJK SC" w:cs="Noto Sans CJK SC"/>
          <w:b/>
          <w:i w:val="0"/>
          <w:color w:val="1F7A8C"/>
          <w:sz w:val="18"/>
          <w:shd w:fill="E8F3F4"/>
        </w:rPr>
        <w:t xml:space="preserve">  不改变现有外包链条  </w:t>
      </w:r>
      <w:r>
        <w:rPr>
          <w:rFonts w:ascii="Noto Sans CJK SC" w:hAnsi="Noto Sans CJK SC" w:eastAsia="Noto Sans CJK SC" w:cs="Noto Sans CJK SC"/>
          <w:b w:val="0"/>
          <w:i w:val="0"/>
          <w:color w:val="263238"/>
          <w:sz w:val="14"/>
        </w:rPr>
        <w:t xml:space="preserve">    </w:t>
      </w:r>
      <w:r>
        <w:rPr>
          <w:rFonts w:ascii="Noto Sans CJK SC" w:hAnsi="Noto Sans CJK SC" w:eastAsia="Noto Sans CJK SC" w:cs="Noto Sans CJK SC"/>
          <w:b/>
          <w:i w:val="0"/>
          <w:color w:val="2F5597"/>
          <w:sz w:val="18"/>
          <w:shd w:fill="EAF2F8"/>
        </w:rPr>
        <w:t xml:space="preserve">  链上证明真实协作  </w:t>
      </w:r>
      <w:r>
        <w:rPr>
          <w:rFonts w:ascii="Noto Sans CJK SC" w:hAnsi="Noto Sans CJK SC" w:eastAsia="Noto Sans CJK SC" w:cs="Noto Sans CJK SC"/>
          <w:b w:val="0"/>
          <w:i w:val="0"/>
          <w:color w:val="263238"/>
          <w:sz w:val="14"/>
        </w:rPr>
        <w:t xml:space="preserve">    </w:t>
      </w:r>
      <w:r>
        <w:rPr>
          <w:rFonts w:ascii="Noto Sans CJK SC" w:hAnsi="Noto Sans CJK SC" w:eastAsia="Noto Sans CJK SC" w:cs="Noto Sans CJK SC"/>
          <w:b/>
          <w:i w:val="0"/>
          <w:color w:val="548235"/>
          <w:sz w:val="18"/>
          <w:shd w:fill="E2F0D9"/>
        </w:rPr>
        <w:t xml:space="preserve">  商业资料保持私密  </w:t>
      </w:r>
    </w:p>
    <w:tbl>
      <w:tblPr>
        <w:tblW w:type="auto" w:w="0"/>
        <w:jc w:val="center"/>
        <w:tblLayout w:type="fixed"/>
        <w:tblLook w:firstColumn="1" w:firstRow="1" w:lastColumn="0" w:lastRow="0" w:noHBand="0" w:noVBand="1" w:val="04A0"/>
      </w:tblPr>
      <w:tblGrid>
        <w:gridCol w:w="9298"/>
      </w:tblGrid>
      <w:tr>
        <w:trPr>
          <w:cantSplit/>
        </w:trPr>
        <w:tc>
          <w:tcPr>
            <w:tcW w:type="dxa" w:w="9412"/>
            <w:shd w:fill="E8F3F4"/>
            <w:tcBorders>
              <w:top w:val="single" w:sz="8" w:color="1F7A8C"/>
              <w:left w:val="single" w:sz="8" w:color="1F7A8C"/>
              <w:bottom w:val="single" w:sz="8" w:color="1F7A8C"/>
              <w:right w:val="single" w:sz="8" w:color="1F7A8C"/>
            </w:tcBorders>
            <w:tcMar>
              <w:top w:w="120" w:type="dxa"/>
              <w:start w:w="150" w:type="dxa"/>
              <w:bottom w:w="120" w:type="dxa"/>
              <w:end w:w="150" w:type="dxa"/>
            </w:tcMar>
          </w:tcPr>
          <w:p>
            <w:pPr>
              <w:keepNext w:val="0"/>
              <w:keepLines w:val="0"/>
              <w:widowControl/>
              <w:spacing w:before="0" w:after="60" w:line="300" w:lineRule="auto"/>
            </w:pPr>
            <w:r>
              <w:rPr>
                <w:rFonts w:ascii="Noto Sans CJK SC" w:hAnsi="Noto Sans CJK SC" w:eastAsia="Noto Sans CJK SC" w:cs="Noto Sans CJK SC"/>
                <w:b/>
                <w:i w:val="0"/>
                <w:color w:val="1F7A8C"/>
                <w:sz w:val="22"/>
              </w:rPr>
              <w:t>文档定位</w:t>
            </w:r>
          </w:p>
          <w:p>
            <w:pPr>
              <w:keepNext w:val="0"/>
              <w:keepLines w:val="0"/>
              <w:widowControl/>
              <w:spacing w:before="0" w:after="0" w:line="343" w:lineRule="auto"/>
            </w:pPr>
            <w:r>
              <w:rPr>
                <w:rFonts w:ascii="Noto Sans CJK SC" w:hAnsi="Noto Sans CJK SC" w:eastAsia="Noto Sans CJK SC" w:cs="Noto Sans CJK SC"/>
                <w:b w:val="0"/>
                <w:i w:val="0"/>
                <w:color w:val="263238"/>
                <w:sz w:val="20"/>
              </w:rPr>
              <w:t>本文件承接《项目背景梳理》，将项目压缩为一个可在黑客松中完整演示的最小闭环。MVP只验证“真实任务经上游验收后，能否为实际设计师生成可公开核验、可撤销且不泄露商业信息的职业贡献凭证”，不承担完整接单平台、支付结算或纠纷仲裁功能。</w:t>
            </w:r>
          </w:p>
        </w:tc>
      </w:tr>
    </w:tbl>
    <w:p>
      <w:pPr>
        <w:spacing w:after="20"/>
      </w:pPr>
    </w:p>
    <w:p>
      <w:pPr>
        <w:spacing w:before="840"/>
      </w:pP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2268"/>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8"/>
              </w:rPr>
              <w:t>文档版本</w:t>
            </w:r>
          </w:p>
        </w:tc>
        <w:tc>
          <w:tcPr>
            <w:tcW w:type="dxa" w:w="555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8"/>
              </w:rPr>
              <w:t>V0.1（MVP讨论稿）</w:t>
            </w:r>
          </w:p>
        </w:tc>
      </w:tr>
      <w:tr>
        <w:trPr>
          <w:cantSplit/>
        </w:trPr>
        <w:tc>
          <w:tcPr>
            <w:tcW w:type="dxa" w:w="2268"/>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8"/>
              </w:rPr>
              <w:t>编制日期</w:t>
            </w:r>
          </w:p>
        </w:tc>
        <w:tc>
          <w:tcPr>
            <w:tcW w:type="dxa" w:w="555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8"/>
              </w:rPr>
              <w:t>2026年7月25日</w:t>
            </w:r>
          </w:p>
        </w:tc>
      </w:tr>
      <w:tr>
        <w:trPr>
          <w:cantSplit/>
        </w:trPr>
        <w:tc>
          <w:tcPr>
            <w:tcW w:type="dxa" w:w="2268"/>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8"/>
              </w:rPr>
              <w:t>目标网络</w:t>
            </w:r>
          </w:p>
        </w:tc>
        <w:tc>
          <w:tcPr>
            <w:tcW w:type="dxa" w:w="555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8"/>
              </w:rPr>
              <w:t>Base Sepolia 测试网</w:t>
            </w:r>
          </w:p>
        </w:tc>
      </w:tr>
      <w:tr>
        <w:trPr>
          <w:cantSplit/>
        </w:trPr>
        <w:tc>
          <w:tcPr>
            <w:tcW w:type="dxa" w:w="2268"/>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8"/>
              </w:rPr>
              <w:t>凭证基础设施</w:t>
            </w:r>
          </w:p>
        </w:tc>
        <w:tc>
          <w:tcPr>
            <w:tcW w:type="dxa" w:w="555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8"/>
              </w:rPr>
              <w:t>Ethereum Attestation Service（EAS）</w:t>
            </w:r>
          </w:p>
        </w:tc>
      </w:tr>
    </w:tbl>
    <w:p>
      <w:r>
        <w:br w:type="page"/>
      </w:r>
    </w:p>
    <w:p>
      <w:pPr>
        <w:pStyle w:val="Heading1"/>
      </w:pPr>
      <w:r>
        <w:rPr>
          <w:rFonts w:ascii="Noto Sans CJK SC" w:hAnsi="Noto Sans CJK SC" w:eastAsia="Noto Sans CJK SC" w:cs="Noto Sans CJK SC"/>
          <w:b/>
          <w:i w:val="0"/>
          <w:color w:val="17365D"/>
          <w:sz w:val="34"/>
        </w:rPr>
        <w:t>文档概览</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本MVP不是一个新的设计接单市场，而是一层嵌入现有外包协作之后的“贡献确认与职业凭证”能力。订单可以继续从闲鱼、微信群或工作室私域获得；上游仍负责客户沟通、定价和风险承担；平台只记录一项任务如何交给某位设计师、设计师提交了什么证据、上游是否验收，并在验收后生成链上凭证。</w:t>
      </w:r>
    </w:p>
    <w:tbl>
      <w:tblPr>
        <w:tblW w:type="auto" w:w="0"/>
        <w:jc w:val="center"/>
        <w:tblLayout w:type="fixed"/>
        <w:tblLook w:firstColumn="1" w:firstRow="1" w:lastColumn="0" w:lastRow="0" w:noHBand="0" w:noVBand="1" w:val="04A0"/>
      </w:tblPr>
      <w:tblGrid>
        <w:gridCol w:w="9298"/>
      </w:tblGrid>
      <w:tr>
        <w:trPr>
          <w:cantSplit/>
        </w:trPr>
        <w:tc>
          <w:tcPr>
            <w:tcW w:type="dxa" w:w="9412"/>
            <w:shd w:fill="EAF2F8"/>
            <w:tcBorders>
              <w:top w:val="single" w:sz="8" w:color="17365D"/>
              <w:left w:val="single" w:sz="8" w:color="17365D"/>
              <w:bottom w:val="single" w:sz="8" w:color="17365D"/>
              <w:right w:val="single" w:sz="8" w:color="17365D"/>
            </w:tcBorders>
            <w:tcMar>
              <w:top w:w="120" w:type="dxa"/>
              <w:start w:w="150" w:type="dxa"/>
              <w:bottom w:w="120" w:type="dxa"/>
              <w:end w:w="150" w:type="dxa"/>
            </w:tcMar>
          </w:tcPr>
          <w:p>
            <w:pPr>
              <w:keepNext w:val="0"/>
              <w:keepLines w:val="0"/>
              <w:widowControl/>
              <w:spacing w:before="0" w:after="60" w:line="300" w:lineRule="auto"/>
            </w:pPr>
            <w:r>
              <w:rPr>
                <w:rFonts w:ascii="Noto Sans CJK SC" w:hAnsi="Noto Sans CJK SC" w:eastAsia="Noto Sans CJK SC" w:cs="Noto Sans CJK SC"/>
                <w:b/>
                <w:i w:val="0"/>
                <w:color w:val="17365D"/>
                <w:sz w:val="22"/>
              </w:rPr>
              <w:t>MVP一句话定义</w:t>
            </w:r>
          </w:p>
          <w:p>
            <w:pPr>
              <w:keepNext w:val="0"/>
              <w:keepLines w:val="0"/>
              <w:widowControl/>
              <w:spacing w:before="0" w:after="0" w:line="343" w:lineRule="auto"/>
            </w:pPr>
            <w:r>
              <w:rPr>
                <w:rFonts w:ascii="Noto Sans CJK SC" w:hAnsi="Noto Sans CJK SC" w:eastAsia="Noto Sans CJK SC" w:cs="Noto Sans CJK SC"/>
                <w:b w:val="0"/>
                <w:i w:val="0"/>
                <w:color w:val="263238"/>
                <w:sz w:val="20"/>
              </w:rPr>
              <w:t>工作室在平台创建匿名设计任务，设计师提交成果证据，上游验收后通过自己的钱包向设计师签发一条可撤销的链上职业贡献凭证；HR无需登录或连接钱包，即可通过公开链接核验凭证。</w:t>
            </w:r>
          </w:p>
        </w:tc>
      </w:tr>
    </w:tbl>
    <w:p>
      <w:pPr>
        <w:spacing w:after="20"/>
      </w:pPr>
    </w:p>
    <w:p>
      <w:pPr>
        <w:pStyle w:val="Heading2"/>
      </w:pPr>
      <w:r>
        <w:rPr>
          <w:rFonts w:ascii="Noto Sans CJK SC" w:hAnsi="Noto Sans CJK SC" w:eastAsia="Noto Sans CJK SC" w:cs="Noto Sans CJK SC"/>
          <w:b/>
          <w:i w:val="0"/>
          <w:color w:val="2F5597"/>
          <w:sz w:val="26"/>
        </w:rPr>
        <w:t>阅读结构</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第一部分明确产品目标、用户与范围，避免MVP演变成完整接单平台。</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第二部分描述从创建任务到HR验证的完整用户流程及功能需求。</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第三部分给出链上凭证字段、链上/链下数据边界和技术架构。</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第四部分提供验收标准、演示脚本、风险与后续迭代顺序。</w:t>
      </w:r>
    </w:p>
    <w:p>
      <w:pPr>
        <w:pStyle w:val="Heading1"/>
      </w:pPr>
      <w:r>
        <w:rPr>
          <w:rFonts w:ascii="Noto Sans CJK SC" w:hAnsi="Noto Sans CJK SC" w:eastAsia="Noto Sans CJK SC" w:cs="Noto Sans CJK SC"/>
          <w:b/>
          <w:i w:val="0"/>
          <w:color w:val="17365D"/>
          <w:sz w:val="34"/>
        </w:rPr>
        <w:t>一、产品目标与核心假设</w:t>
      </w:r>
    </w:p>
    <w:p>
      <w:pPr>
        <w:pStyle w:val="Heading2"/>
      </w:pPr>
      <w:r>
        <w:rPr>
          <w:rFonts w:ascii="Noto Sans CJK SC" w:hAnsi="Noto Sans CJK SC" w:eastAsia="Noto Sans CJK SC" w:cs="Noto Sans CJK SC"/>
          <w:b/>
          <w:i w:val="0"/>
          <w:color w:val="2F5597"/>
          <w:sz w:val="26"/>
        </w:rPr>
        <w:t>1.1 产品目标</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在不暴露客户身份、项目报价、利润结构和设计源文件的前提下，为多层设计外包中的实际执行者建立一条由直接上游签名确认的职业经历记录，使该记录能够脱离原接单群和原平台被长期携带，并由招聘方低成本验证。</w:t>
      </w:r>
    </w:p>
    <w:p>
      <w:pPr>
        <w:pStyle w:val="Heading2"/>
      </w:pPr>
      <w:r>
        <w:rPr>
          <w:rFonts w:ascii="Noto Sans CJK SC" w:hAnsi="Noto Sans CJK SC" w:eastAsia="Noto Sans CJK SC" w:cs="Noto Sans CJK SC"/>
          <w:b/>
          <w:i w:val="0"/>
          <w:color w:val="2F5597"/>
          <w:sz w:val="26"/>
        </w:rPr>
        <w:t>1.2 MVP需要验证的三项假设</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编号</w:t>
            </w:r>
          </w:p>
        </w:tc>
        <w:tc>
          <w:tcPr>
            <w:tcW w:type="dxa" w:w="243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待验证假设</w:t>
            </w:r>
          </w:p>
        </w:tc>
        <w:tc>
          <w:tcPr>
            <w:tcW w:type="dxa" w:w="306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MVP验证方式</w:t>
            </w:r>
          </w:p>
        </w:tc>
        <w:tc>
          <w:tcPr>
            <w:tcW w:type="dxa" w:w="289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通过信号</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7"/>
              </w:rPr>
              <w:t>H1</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上游愿意在不暴露客户资源的情况下确认下游贡献。</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只要求上游填写匿名项目类别、角色和交付摘要，并以钱包签名；不公开客户、报价和合同。</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上游能在较少步骤内完成验收和签发，且认为不会增加被绕单风险。</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7"/>
              </w:rPr>
              <w:t>H2</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设计师愿意将凭证作为求职材料使用。</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凭证自动进入设计师个人页，可生成公开验证链接和二维码。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设计师愿意把链接放入简历，并认为它比聊天截图更可信。</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7"/>
              </w:rPr>
              <w:t>H3</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HR能够理解并使用链上凭证。</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验证页把技术信息翻译为“谁签发、给谁、何时、是否撤销、证明了什么”。</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HR无需懂钱包和区块浏览器，也能在1个页面完成判断。</w:t>
            </w:r>
          </w:p>
        </w:tc>
      </w:tr>
    </w:tbl>
    <w:p>
      <w:pPr>
        <w:spacing w:after="40"/>
      </w:pPr>
    </w:p>
    <w:p>
      <w:pPr>
        <w:pStyle w:val="Heading2"/>
      </w:pPr>
      <w:r>
        <w:rPr>
          <w:rFonts w:ascii="Noto Sans CJK SC" w:hAnsi="Noto Sans CJK SC" w:eastAsia="Noto Sans CJK SC" w:cs="Noto Sans CJK SC"/>
          <w:b/>
          <w:i w:val="0"/>
          <w:color w:val="2F5597"/>
          <w:sz w:val="26"/>
        </w:rPr>
        <w:t>1.3 MVP成功标准</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能够由一个上游账户完整创建任务、邀请设计师、验收并发出链上凭证。</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链上凭证包含明确签发者、接收者、项目类别、角色、时间、交付摘要、证据哈希和撤销状态。</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HR通过公开链接能独立从链上读取凭证，不依赖平台数据库伪造“已验证”结果。</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任何公开上链字段都不包含客户真实名称、报价、联系方式、合同全文或设计文件。</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签发方能够撤销错误凭证；验证页能够实时显示已撤销状态。</w:t>
      </w:r>
    </w:p>
    <w:p>
      <w:pPr>
        <w:pStyle w:val="Heading2"/>
      </w:pPr>
      <w:r>
        <w:rPr>
          <w:rFonts w:ascii="Noto Sans CJK SC" w:hAnsi="Noto Sans CJK SC" w:eastAsia="Noto Sans CJK SC" w:cs="Noto Sans CJK SC"/>
          <w:b/>
          <w:i w:val="0"/>
          <w:color w:val="2F5597"/>
          <w:sz w:val="26"/>
        </w:rPr>
        <w:t>1.4 MVP不验证的内容</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不证明设计师的审美或能力一定优秀，只证明某个签发方作出了特定项目声明。</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不保证签发方所说内容天然真实；签发方身份、信誉和过程证据决定内容可信度。</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不处理订单支付、分账、托管、抽成、发票和税务。</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不取代作品集，不公开完整作品，也不解决所有版权归属争议。</w:t>
      </w:r>
    </w:p>
    <w:p>
      <w:pPr>
        <w:pStyle w:val="Heading1"/>
      </w:pPr>
      <w:r>
        <w:rPr>
          <w:rFonts w:ascii="Noto Sans CJK SC" w:hAnsi="Noto Sans CJK SC" w:eastAsia="Noto Sans CJK SC" w:cs="Noto Sans CJK SC"/>
          <w:b/>
          <w:i w:val="0"/>
          <w:color w:val="17365D"/>
          <w:sz w:val="34"/>
        </w:rPr>
        <w:t>二、目标用户与核心场景</w:t>
      </w:r>
    </w:p>
    <w:p>
      <w:pPr>
        <w:pStyle w:val="Heading2"/>
      </w:pPr>
      <w:r>
        <w:rPr>
          <w:rFonts w:ascii="Noto Sans CJK SC" w:hAnsi="Noto Sans CJK SC" w:eastAsia="Noto Sans CJK SC" w:cs="Noto Sans CJK SC"/>
          <w:b/>
          <w:i w:val="0"/>
          <w:color w:val="2F5597"/>
          <w:sz w:val="26"/>
        </w:rPr>
        <w:t>2.1 用户角色</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70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角色</w:t>
            </w:r>
          </w:p>
        </w:tc>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MVP身份</w:t>
            </w:r>
          </w:p>
        </w:tc>
        <w:tc>
          <w:tcPr>
            <w:tcW w:type="dxa" w:w="272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核心目标</w:t>
            </w:r>
          </w:p>
        </w:tc>
        <w:tc>
          <w:tcPr>
            <w:tcW w:type="dxa" w:w="255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MVP主要操作</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签发方 Issuer</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闲鱼店长、工作室或项目负责人</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证明任务确由指定设计师完成，同时保护客户关系和商业隐私</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连接钱包、创建任务、邀请设计师、验收、签发、撤销</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设计师 Holder</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实际执行任务的自由职业设计师</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获得能写入简历且可被第三方验证的项目经历</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连接钱包、接受任务、提交证据、查看凭证、生成分享链接</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验证方 Verifier</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HR、用人经理或潜在合作方</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低成本判断凭证由谁签发、是否有效、声明了什么</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打开链接、查看链上状态、核对签发方和凭证内容</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平台管理员 Admin</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MVP运营人员</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控制演示账号和基础风控，不替代签发方作证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维护签发方白名单、处理异常数据、查看日志</w:t>
            </w:r>
          </w:p>
        </w:tc>
      </w:tr>
    </w:tbl>
    <w:p>
      <w:pPr>
        <w:pStyle w:val="Heading2"/>
      </w:pPr>
      <w:r>
        <w:rPr>
          <w:rFonts w:ascii="Noto Sans CJK SC" w:hAnsi="Noto Sans CJK SC" w:eastAsia="Noto Sans CJK SC" w:cs="Noto Sans CJK SC"/>
          <w:b/>
          <w:i w:val="0"/>
          <w:color w:val="2F5597"/>
          <w:sz w:val="26"/>
        </w:rPr>
        <w:t>2.2 核心使用场景</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某工作室通过闲鱼接到一个电商详情页设计订单，并在微信群中把具体页面制作交给自由设计师。设计完成后，工作室在现有聊天工具中继续向客户交付，不改变原交易关系；同时在本平台对设计师的任务完成情况进行验收，并签发“电商视觉设计执行”职业贡献凭证。设计师求职时把验证链接放入简历，HR打开后看到该声明来自工作室钱包、接收者为设计师钱包、签发时间和撤销状态均可链上核验。</w:t>
      </w:r>
    </w:p>
    <w:p>
      <w:pPr>
        <w:pStyle w:val="Heading2"/>
      </w:pPr>
      <w:r>
        <w:rPr>
          <w:rFonts w:ascii="Noto Sans CJK SC" w:hAnsi="Noto Sans CJK SC" w:eastAsia="Noto Sans CJK SC" w:cs="Noto Sans CJK SC"/>
          <w:b/>
          <w:i w:val="0"/>
          <w:color w:val="2F5597"/>
          <w:sz w:val="26"/>
        </w:rPr>
        <w:t>2.3 信任边界</w:t>
      </w:r>
    </w:p>
    <w:tbl>
      <w:tblPr>
        <w:tblW w:type="auto" w:w="0"/>
        <w:jc w:val="center"/>
        <w:tblLayout w:type="fixed"/>
        <w:tblLook w:firstColumn="1" w:firstRow="1" w:lastColumn="0" w:lastRow="0" w:noHBand="0" w:noVBand="1" w:val="04A0"/>
      </w:tblPr>
      <w:tblGrid>
        <w:gridCol w:w="9298"/>
      </w:tblGrid>
      <w:tr>
        <w:trPr>
          <w:cantSplit/>
        </w:trPr>
        <w:tc>
          <w:tcPr>
            <w:tcW w:type="dxa" w:w="9412"/>
            <w:shd w:fill="FCE4D6"/>
            <w:tcBorders>
              <w:top w:val="single" w:sz="8" w:color="C55A11"/>
              <w:left w:val="single" w:sz="8" w:color="C55A11"/>
              <w:bottom w:val="single" w:sz="8" w:color="C55A11"/>
              <w:right w:val="single" w:sz="8" w:color="C55A11"/>
            </w:tcBorders>
            <w:tcMar>
              <w:top w:w="120" w:type="dxa"/>
              <w:start w:w="150" w:type="dxa"/>
              <w:bottom w:w="120" w:type="dxa"/>
              <w:end w:w="150" w:type="dxa"/>
            </w:tcMar>
          </w:tcPr>
          <w:p>
            <w:pPr>
              <w:keepNext w:val="0"/>
              <w:keepLines w:val="0"/>
              <w:widowControl/>
              <w:spacing w:before="0" w:after="60" w:line="300" w:lineRule="auto"/>
            </w:pPr>
            <w:r>
              <w:rPr>
                <w:rFonts w:ascii="Noto Sans CJK SC" w:hAnsi="Noto Sans CJK SC" w:eastAsia="Noto Sans CJK SC" w:cs="Noto Sans CJK SC"/>
                <w:b/>
                <w:i w:val="0"/>
                <w:color w:val="C55A11"/>
                <w:sz w:val="22"/>
              </w:rPr>
              <w:t>验证“声明由谁作出”，不等于验证“声明内容绝对真实”</w:t>
            </w:r>
          </w:p>
          <w:p>
            <w:pPr>
              <w:keepNext w:val="0"/>
              <w:keepLines w:val="0"/>
              <w:widowControl/>
              <w:spacing w:before="0" w:after="0" w:line="343" w:lineRule="auto"/>
            </w:pPr>
            <w:r>
              <w:rPr>
                <w:rFonts w:ascii="Noto Sans CJK SC" w:hAnsi="Noto Sans CJK SC" w:eastAsia="Noto Sans CJK SC" w:cs="Noto Sans CJK SC"/>
                <w:b w:val="0"/>
                <w:i w:val="0"/>
                <w:color w:val="263238"/>
                <w:sz w:val="20"/>
              </w:rPr>
              <w:t>区块链和数字签名可以证明某个钱包在特定时间签发了未被篡改的声明，也可以显示声明是否被撤销；但不能自动判断项目是否真的存在、签发方是否有权作证。因此MVP必须同时展示签发方平台身份、证据类型和明确的风险提示，避免把“链上”包装成天然真实。</w:t>
            </w:r>
          </w:p>
        </w:tc>
      </w:tr>
    </w:tbl>
    <w:p>
      <w:pPr>
        <w:spacing w:after="20"/>
      </w:pPr>
    </w:p>
    <w:p>
      <w:pPr>
        <w:pStyle w:val="Heading1"/>
      </w:pPr>
      <w:r>
        <w:rPr>
          <w:rFonts w:ascii="Noto Sans CJK SC" w:hAnsi="Noto Sans CJK SC" w:eastAsia="Noto Sans CJK SC" w:cs="Noto Sans CJK SC"/>
          <w:b/>
          <w:i w:val="0"/>
          <w:color w:val="17365D"/>
          <w:sz w:val="34"/>
        </w:rPr>
        <w:t>三、MVP范围与优先级</w:t>
      </w:r>
    </w:p>
    <w:p>
      <w:pPr>
        <w:pStyle w:val="Heading2"/>
      </w:pPr>
      <w:r>
        <w:rPr>
          <w:rFonts w:ascii="Noto Sans CJK SC" w:hAnsi="Noto Sans CJK SC" w:eastAsia="Noto Sans CJK SC" w:cs="Noto Sans CJK SC"/>
          <w:b/>
          <w:i w:val="0"/>
          <w:color w:val="2F5597"/>
          <w:sz w:val="26"/>
        </w:rPr>
        <w:t>3.1 范围原则</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MVP只保留构成“贡献凭证闭环”不可缺少的能力。凡是不能直接帮助完成任务确认、凭证签发或第三方验证的功能，均延后处理。</w:t>
      </w:r>
    </w:p>
    <w:p>
      <w:pPr>
        <w:pStyle w:val="Heading2"/>
      </w:pPr>
      <w:r>
        <w:rPr>
          <w:rFonts w:ascii="Noto Sans CJK SC" w:hAnsi="Noto Sans CJK SC" w:eastAsia="Noto Sans CJK SC" w:cs="Noto Sans CJK SC"/>
          <w:b/>
          <w:i w:val="0"/>
          <w:color w:val="2F5597"/>
          <w:sz w:val="26"/>
        </w:rPr>
        <w:t>3.2 功能范围</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255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功能模块</w:t>
            </w:r>
          </w:p>
        </w:tc>
        <w:tc>
          <w:tcPr>
            <w:tcW w:type="dxa" w:w="289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本版本内容</w:t>
            </w:r>
          </w:p>
        </w:tc>
        <w:tc>
          <w:tcPr>
            <w:tcW w:type="dxa" w:w="283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边界说明</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钱包登录与角色</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签发方、设计师连接EVM钱包；验证方无需登录</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不做复杂DID、手机号实名认证和社交登录</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匿名任务管理</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创建任务、邀请设计师、接受、提交、验收</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不做订单撮合、客户沟通和多人协同</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证据哈希</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上传文件后由系统计算SHA-256；链下保存文件，链上保存哈希</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不上链原文件，不公开聊天和合同</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EAS链上凭证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Base Sepolia上签发可撤销attestation</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不发行NFT、Token或可交易资产</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设计师凭证页</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展示本人获得的凭证及分享链接</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不做复杂技能评分和推荐算法</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公开验证页</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从链上读取并解释签发方、接收方、内容、状态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HR不需要钱包、不需要理解区块浏览器</w:t>
            </w:r>
          </w:p>
        </w:tc>
      </w:tr>
      <w:tr>
        <w:trPr>
          <w:cantSplit/>
        </w:trPr>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凭证撤销</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签发方可撤销；验证页显示撤销状态</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不支持删除链上历史</w:t>
            </w:r>
          </w:p>
        </w:tc>
      </w:tr>
      <w:tr>
        <w:trPr>
          <w:cantSplit/>
        </w:trPr>
        <w:tc>
          <w:tcPr>
            <w:tcW w:type="dxa" w:w="2353"/>
            <w:vAlign w:val="center"/>
            <w:shd w:fill="EAF2F8"/>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2F5597"/>
                <w:sz w:val="16"/>
              </w:rPr>
              <w:t>P1</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签发方认证标签</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管理员白名单标记演示工作室</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不做企业工商自动核验</w:t>
            </w:r>
          </w:p>
        </w:tc>
      </w:tr>
      <w:tr>
        <w:trPr>
          <w:cantSplit/>
        </w:trPr>
        <w:tc>
          <w:tcPr>
            <w:tcW w:type="dxa" w:w="2353"/>
            <w:vAlign w:val="center"/>
            <w:shd w:fill="EAF2F8"/>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2F5597"/>
                <w:sz w:val="16"/>
              </w:rPr>
              <w:t>P1</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本地文件复核</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浏览器本地计算文件哈希并与凭证对比</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不上传复核文件，不等同于版权判定</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F6B73"/>
                <w:sz w:val="16"/>
              </w:rPr>
              <w:t>P2</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申诉与多方证明</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设计师申诉、多个上游节点追加证明</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不进入首个演示闭环</w:t>
            </w:r>
          </w:p>
        </w:tc>
      </w:tr>
    </w:tbl>
    <w:p>
      <w:pPr>
        <w:pStyle w:val="Heading2"/>
      </w:pPr>
      <w:r>
        <w:rPr>
          <w:rFonts w:ascii="Noto Sans CJK SC" w:hAnsi="Noto Sans CJK SC" w:eastAsia="Noto Sans CJK SC" w:cs="Noto Sans CJK SC"/>
          <w:b/>
          <w:i w:val="0"/>
          <w:color w:val="2F5597"/>
          <w:sz w:val="26"/>
        </w:rPr>
        <w:t>3.3 明确排除项</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闲鱼店铺抓单、微信群机器人、自动读取聊天记录。</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法币或加密货币支付、智能合约托管、按贡献自动分账。</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作品公开展示社区、点赞、关注和接单排行。</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完整企业KYC、司法级电子签名和法律仲裁。</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零知识证明、复杂选择性披露协议及跨链互操作。</w:t>
      </w:r>
    </w:p>
    <w:p>
      <w:pPr>
        <w:pStyle w:val="ListBullet"/>
        <w:keepNext w:val="0"/>
        <w:keepLines w:val="0"/>
        <w:spacing w:before="0" w:after="60" w:line="322" w:lineRule="auto"/>
      </w:pPr>
      <w:r>
        <w:rPr>
          <w:rFonts w:ascii="Noto Sans CJK SC" w:hAnsi="Noto Sans CJK SC" w:eastAsia="Noto Sans CJK SC" w:cs="Noto Sans CJK SC"/>
          <w:b w:val="0"/>
          <w:i w:val="0"/>
          <w:color w:val="5F6B73"/>
          <w:sz w:val="20"/>
        </w:rPr>
        <w:t>设计师能力评分、HR自动录用建议和信用贷款。</w:t>
      </w:r>
    </w:p>
    <w:p>
      <w:pPr>
        <w:pStyle w:val="Heading1"/>
      </w:pPr>
      <w:r>
        <w:rPr>
          <w:rFonts w:ascii="Noto Sans CJK SC" w:hAnsi="Noto Sans CJK SC" w:eastAsia="Noto Sans CJK SC" w:cs="Noto Sans CJK SC"/>
          <w:b/>
          <w:i w:val="0"/>
          <w:color w:val="17365D"/>
          <w:sz w:val="34"/>
        </w:rPr>
        <w:t>四、核心业务流程</w:t>
      </w:r>
    </w:p>
    <w:p>
      <w:pPr>
        <w:pStyle w:val="Heading2"/>
      </w:pPr>
      <w:r>
        <w:rPr>
          <w:rFonts w:ascii="Noto Sans CJK SC" w:hAnsi="Noto Sans CJK SC" w:eastAsia="Noto Sans CJK SC" w:cs="Noto Sans CJK SC"/>
          <w:b/>
          <w:i w:val="0"/>
          <w:color w:val="2F5597"/>
          <w:sz w:val="26"/>
        </w:rPr>
        <w:t>4.1 端到端流程</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850"/>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步骤</w:t>
            </w:r>
          </w:p>
        </w:tc>
        <w:tc>
          <w:tcPr>
            <w:tcW w:type="dxa" w:w="289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用户动作</w:t>
            </w:r>
          </w:p>
        </w:tc>
        <w:tc>
          <w:tcPr>
            <w:tcW w:type="dxa" w:w="5613"/>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系统行为与结果</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01</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签发方创建匿名任务</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平台生成内部projectId与带盐projectRefHash</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02</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邀请设计师</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输入设计师钱包地址或发送邀请链接</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03</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设计师接受任务</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形成链下任务关系与操作日志</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04</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设计师提交成果证据</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文件保存链下，计算evidenceHash；填写公开摘要</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05</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签发方验收</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确认完成或驳回并填写原因</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06</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签发链上凭证</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签发方钱包调用EAS，recipient为设计师地址</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07</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凭证进入个人页</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平台保存attestationUID并生成公开链接</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08</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HR公开验证</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从链上读取并显示有效/已撤销状态</w:t>
            </w:r>
          </w:p>
        </w:tc>
      </w:tr>
    </w:tbl>
    <w:p>
      <w:pPr>
        <w:pStyle w:val="Heading2"/>
      </w:pPr>
      <w:r>
        <w:rPr>
          <w:rFonts w:ascii="Noto Sans CJK SC" w:hAnsi="Noto Sans CJK SC" w:eastAsia="Noto Sans CJK SC" w:cs="Noto Sans CJK SC"/>
          <w:b/>
          <w:i w:val="0"/>
          <w:color w:val="2F5597"/>
          <w:sz w:val="26"/>
        </w:rPr>
        <w:t>4.2 任务状态机</w:t>
      </w:r>
    </w:p>
    <w:tbl>
      <w:tblPr>
        <w:tblW w:type="auto" w:w="0"/>
        <w:jc w:val="center"/>
        <w:tblLayout w:type="fixed"/>
        <w:tblLook w:firstColumn="1" w:firstRow="1" w:lastColumn="0" w:lastRow="0" w:noHBand="0" w:noVBand="1" w:val="04A0"/>
      </w:tblPr>
      <w:tblGrid>
        <w:gridCol w:w="9184"/>
      </w:tblGrid>
      <w:tr>
        <w:trPr>
          <w:cantSplit/>
        </w:trPr>
        <w:tc>
          <w:tcPr>
            <w:tcW w:type="dxa" w:w="9412"/>
            <w:shd w:fill="F7F7F7"/>
            <w:tcBorders>
              <w:top w:val="single" w:sz="4" w:color="D9E1E8"/>
              <w:left w:val="single" w:sz="4" w:color="D9E1E8"/>
              <w:bottom w:val="single" w:sz="4" w:color="D9E1E8"/>
              <w:right w:val="single" w:sz="4" w:color="D9E1E8"/>
            </w:tcBorders>
            <w:tcMar>
              <w:top w:w="120" w:type="dxa"/>
              <w:start w:w="160" w:type="dxa"/>
              <w:bottom w:w="120" w:type="dxa"/>
              <w:end w:w="160" w:type="dxa"/>
            </w:tcMar>
          </w:tcPr>
          <w:p>
            <w:pPr>
              <w:pStyle w:val="CodeBlock"/>
              <w:widowControl/>
              <w:spacing w:after="0"/>
            </w:pPr>
            <w:r>
              <w:rPr>
                <w:rFonts w:ascii="DejaVu Sans Mono" w:hAnsi="DejaVu Sans Mono" w:eastAsia="DejaVu Sans Mono" w:cs="DejaVu Sans Mono"/>
                <w:b w:val="0"/>
                <w:i w:val="0"/>
                <w:color w:val="263238"/>
                <w:sz w:val="16"/>
              </w:rPr>
              <w:t>DRAFT → INVITED → ACCEPTED → SUBMITTED → APPROVED → ATTESTING → ISSUED</w:t>
            </w:r>
            <w:r>
              <w:br/>
            </w:r>
            <w:r>
              <w:rPr>
                <w:rFonts w:ascii="DejaVu Sans Mono" w:hAnsi="DejaVu Sans Mono" w:eastAsia="DejaVu Sans Mono" w:cs="DejaVu Sans Mono"/>
                <w:b w:val="0"/>
                <w:i w:val="0"/>
                <w:color w:val="263238"/>
                <w:sz w:val="16"/>
              </w:rPr>
              <w:t xml:space="preserve">                                      ↘ REJECTED</w:t>
            </w:r>
            <w:r>
              <w:br/>
            </w:r>
            <w:r>
              <w:rPr>
                <w:rFonts w:ascii="DejaVu Sans Mono" w:hAnsi="DejaVu Sans Mono" w:eastAsia="DejaVu Sans Mono" w:cs="DejaVu Sans Mono"/>
                <w:b w:val="0"/>
                <w:i w:val="0"/>
                <w:color w:val="263238"/>
                <w:sz w:val="16"/>
              </w:rPr>
              <w:t>ISSUED → REVOKED</w:t>
            </w:r>
          </w:p>
        </w:tc>
      </w:tr>
    </w:tbl>
    <w:p>
      <w:pPr>
        <w:spacing w:after="20"/>
      </w:pP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5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状态</w:t>
            </w:r>
          </w:p>
        </w:tc>
        <w:tc>
          <w:tcPr>
            <w:tcW w:type="dxa" w:w="243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进入条件</w:t>
            </w:r>
          </w:p>
        </w:tc>
        <w:tc>
          <w:tcPr>
            <w:tcW w:type="dxa" w:w="283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允许操作</w:t>
            </w:r>
          </w:p>
        </w:tc>
        <w:tc>
          <w:tcPr>
            <w:tcW w:type="dxa" w:w="255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退出条件</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DRAFT</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签发方保存任务</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编辑、删除、发送邀请</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发送邀请</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INVITED</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已向设计师发出邀请</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签发方撤回；设计师接受/拒绝</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设计师接受或拒绝</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ACCEPTED</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设计师接受任务</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设计师提交成果；签发方取消</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设计师完成提交</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SUBMITTED</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已有成果证据和公开摘要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签发方验收或驳回</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验收通过或驳回</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APPROVED</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签发方确认完成</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发起链上签发</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钱包交易发出</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ATTESTING</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链上交易待确认</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查看交易状态、失败后重试</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交易确认或失败</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ISSUED</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获得attestationUID</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分享、查看；签发方撤销</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签发方撤销</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REJECTED</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签发方驳回</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设计师修改后重新提交</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重新提交</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REVOKED</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EAS显示已撤销</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查看撤销原因和历史</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终态</w:t>
            </w:r>
          </w:p>
        </w:tc>
      </w:tr>
    </w:tbl>
    <w:p>
      <w:pPr>
        <w:pStyle w:val="Heading1"/>
      </w:pPr>
      <w:r>
        <w:rPr>
          <w:rFonts w:ascii="Noto Sans CJK SC" w:hAnsi="Noto Sans CJK SC" w:eastAsia="Noto Sans CJK SC" w:cs="Noto Sans CJK SC"/>
          <w:b/>
          <w:i w:val="0"/>
          <w:color w:val="17365D"/>
          <w:sz w:val="34"/>
        </w:rPr>
        <w:t>五、详细功能需求</w:t>
      </w:r>
    </w:p>
    <w:p>
      <w:pPr>
        <w:pStyle w:val="Heading2"/>
      </w:pPr>
      <w:r>
        <w:rPr>
          <w:rFonts w:ascii="Noto Sans CJK SC" w:hAnsi="Noto Sans CJK SC" w:eastAsia="Noto Sans CJK SC" w:cs="Noto Sans CJK SC"/>
          <w:b/>
          <w:i w:val="0"/>
          <w:color w:val="2F5597"/>
          <w:sz w:val="26"/>
        </w:rPr>
        <w:t>5.1 钱包登录与身份展示</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AUTH-01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签发方/设计师可连接MetaMask等EVM钱包并签名登录；登录签名不得触发链上交易或扣费。</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签名成功后创建会话；钱包切换或会话过期后要求重新签名。</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AUTH-02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用户首次登录选择“签发方”或“设计师”；同一钱包可同时拥有两个角色。</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角色只影响可见功能，不改变链上地址。</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AUTH-03</w:t>
            </w:r>
          </w:p>
        </w:tc>
        <w:tc>
          <w:tcPr>
            <w:tcW w:type="dxa" w:w="2353"/>
            <w:vAlign w:val="center"/>
            <w:shd w:fill="EAF2F8"/>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2F5597"/>
                <w:sz w:val="16"/>
              </w:rPr>
              <w:t>P1</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平台可将签发方钱包标记为“平台已核验资料”，验证页必须区分链上签名与平台认证。</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未认证签发方仍可签发，但显示“身份未由平台核验”。</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AUTH-04</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验证方打开公开链接无需登录和连接钱包。</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未安装钱包的浏览器可完整查看凭证。</w:t>
            </w:r>
          </w:p>
        </w:tc>
      </w:tr>
    </w:tbl>
    <w:p>
      <w:pPr>
        <w:spacing w:after="20"/>
      </w:pPr>
    </w:p>
    <w:p>
      <w:pPr>
        <w:pStyle w:val="Heading2"/>
      </w:pPr>
      <w:r>
        <w:rPr>
          <w:rFonts w:ascii="Noto Sans CJK SC" w:hAnsi="Noto Sans CJK SC" w:eastAsia="Noto Sans CJK SC" w:cs="Noto Sans CJK SC"/>
          <w:b/>
          <w:i w:val="0"/>
          <w:color w:val="2F5597"/>
          <w:sz w:val="26"/>
        </w:rPr>
        <w:t>5.2 任务创建与邀请</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TASK-01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签发方创建任务，必填：项目类别、公开角色、开始日期、预计完成日期、公开贡献摘要模板、保密级别。</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缺少必填项不能发送邀请；客户名称和报价不作为字段。</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TASK-02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系统生成不可枚举的projectId，并以projectId+随机salt计算projectRefHash。</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链上只出现projectRefHash，无法通过简单字典猜测客户或订单号。</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TASK-03</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签发方输入设计师钱包地址发送邀请，也可生成一次性邀请链接。</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被邀请地址与最终凭证recipient必须一致；改变地址需重新邀请。</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TASK-04</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设计师可接受或拒绝任务；接受后双方均可看到任务状态。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未接受的任务不能提交成果或签发凭证。</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TASK-05</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任务详情页持续提示“客户、价格、联系方式和未发布信息不得填写在公开字段”。</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公开摘要旁显示风险提示；敏感词命中时二次确认。</w:t>
            </w:r>
          </w:p>
        </w:tc>
      </w:tr>
    </w:tbl>
    <w:p>
      <w:pPr>
        <w:spacing w:after="20"/>
      </w:pPr>
    </w:p>
    <w:p>
      <w:pPr>
        <w:pStyle w:val="Heading2"/>
      </w:pPr>
      <w:r>
        <w:rPr>
          <w:rFonts w:ascii="Noto Sans CJK SC" w:hAnsi="Noto Sans CJK SC" w:eastAsia="Noto Sans CJK SC" w:cs="Noto Sans CJK SC"/>
          <w:b/>
          <w:i w:val="0"/>
          <w:color w:val="2F5597"/>
          <w:sz w:val="26"/>
        </w:rPr>
        <w:t>5.3 成果提交与证据哈希</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EVD-01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设计师可上传一个成果压缩包、PDF或图片作为过程证据；单文件大小按MVP环境配置。</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系统上传完成后返回文件名、大小、SHA-256和上传时间。</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EVD-02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原始文件保存在私有对象存储，不得公开访问；数据库只保存访问控制后的对象键。</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公开验证页不能下载证据文件；对象URL不可猜测且需鉴权。</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EVD-03</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系统以文件原始字节计算SHA-256 evidenceHash；重新上传产生新版本与新哈希。</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每次版本均保留时间和提交人；最终凭证只引用验收版本。</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EVD-04</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设计师填写可公开的贡献摘要，签发方验收前可以修改。</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摘要长度受限，并再次提示不得包含客户名称和商业秘密。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EVD-05</w:t>
            </w:r>
          </w:p>
        </w:tc>
        <w:tc>
          <w:tcPr>
            <w:tcW w:type="dxa" w:w="2353"/>
            <w:vAlign w:val="center"/>
            <w:shd w:fill="EAF2F8"/>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2F5597"/>
                <w:sz w:val="16"/>
              </w:rPr>
              <w:t>P1</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验证方可在浏览器本地选择文件计算SHA-256，与链上evidenceHash比较；文件不上传服务器。</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匹配时显示“文件指纹一致”，不匹配时显示明确警告。</w:t>
            </w:r>
          </w:p>
        </w:tc>
      </w:tr>
    </w:tbl>
    <w:p>
      <w:pPr>
        <w:spacing w:after="20"/>
      </w:pPr>
    </w:p>
    <w:p>
      <w:pPr>
        <w:pStyle w:val="Heading2"/>
      </w:pPr>
      <w:r>
        <w:rPr>
          <w:rFonts w:ascii="Noto Sans CJK SC" w:hAnsi="Noto Sans CJK SC" w:eastAsia="Noto Sans CJK SC" w:cs="Noto Sans CJK SC"/>
          <w:b/>
          <w:i w:val="0"/>
          <w:color w:val="2F5597"/>
          <w:sz w:val="26"/>
        </w:rPr>
        <w:t>5.4 验收与链上签发</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APR-01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签发方在SUBMITTED状态查看公开摘要、证据文件信息和版本记录，可选择通过或驳回。</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通过前必须勾选“我确认该设计师完成了上述贡献”。</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APR-02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驳回时必须填写原因，任务回到可重新提交状态。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驳回不产生链上凭证。</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ATT-01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验收通过后，系统展示即将公开上链的全部字段，签发方二次确认后连接钱包发起EAS attestation。</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页面明确标记“链上公开且不可删除，只能撤销”。</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ATT-02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EAS recipient使用设计师钱包地址，attester为签发方钱包地址，schema设置为revocable。</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链上查询结果与平台展示地址一致。</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ATT-03</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交易确认后保存chainId、transactionHash、attestationUID、blockNumber和issuedAt。</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刷新页面后仍能从链上重建凭证核心信息。</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ATT-04</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交易失败或用户拒签时任务保持APPROVED，允许重新发起，不重复创建任务。</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重复点击不会生成无法识别的重复凭证；成功后锁定再次签发。</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ATT-05</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凭证字段生成metadataDigest，平台保存对应规范化JSON快照。</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JSON快照被修改时重新计算值与链上metadataDigest不一致。</w:t>
            </w:r>
          </w:p>
        </w:tc>
      </w:tr>
    </w:tbl>
    <w:p>
      <w:pPr>
        <w:spacing w:after="20"/>
      </w:pPr>
    </w:p>
    <w:p>
      <w:pPr>
        <w:pStyle w:val="Heading2"/>
      </w:pPr>
      <w:r>
        <w:rPr>
          <w:rFonts w:ascii="Noto Sans CJK SC" w:hAnsi="Noto Sans CJK SC" w:eastAsia="Noto Sans CJK SC" w:cs="Noto Sans CJK SC"/>
          <w:b/>
          <w:i w:val="0"/>
          <w:color w:val="2F5597"/>
          <w:sz w:val="26"/>
        </w:rPr>
        <w:t>5.5 设计师凭证页与分享</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HLD-01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设计师个人页列出其作为recipient收到的本项目schema凭证。</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至少显示有效、已撤销、签发中的状态。</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HLD-02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每张凭证显示：项目类别、角色、公开摘要、项目时间、签发方、签发时间、证据类型和状态。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不显示客户名称、报价和文件下载地址。</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HLD-03</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设计师可生成公开验证链接和二维码。</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未登录用户打开链接可查看；二维码内容为验证URL。</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HLD-04</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设计师可将凭证从个人公开列表隐藏，但隐藏不改变链上存在性。</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系统明确提示“隐藏不等于删除或撤销”。</w:t>
            </w:r>
          </w:p>
        </w:tc>
      </w:tr>
    </w:tbl>
    <w:p>
      <w:pPr>
        <w:spacing w:after="20"/>
      </w:pPr>
    </w:p>
    <w:p>
      <w:pPr>
        <w:pStyle w:val="Heading2"/>
      </w:pPr>
      <w:r>
        <w:rPr>
          <w:rFonts w:ascii="Noto Sans CJK SC" w:hAnsi="Noto Sans CJK SC" w:eastAsia="Noto Sans CJK SC" w:cs="Noto Sans CJK SC"/>
          <w:b/>
          <w:i w:val="0"/>
          <w:color w:val="2F5597"/>
          <w:sz w:val="26"/>
        </w:rPr>
        <w:t>5.6 HR公开验证页</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VER-01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验证页以attestationUID为主键，从Base Sepolia EAS合约或可信索引服务读取数据。</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平台数据库被清空时，仍能读取链上核心字段和状态。</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VER-02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页面首先给出人类可理解的结果：有效、已撤销、未找到、网络错误。</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状态颜色与文字同时表达，不能只依赖颜色。</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VER-03</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展示签发方钱包、设计师钱包、签发时间、schema、交易哈希和EAS浏览器入口。</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地址支持复制；技术信息默认折叠。</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VER-04</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展示平台对签发方的身份标签，并明确该标签是链下平台信息。</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页面不得把“钱包签名有效”描述为“项目内容已被平台保证真实”。</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VER-05</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显示可信度说明：该凭证证明签发方作出声明，不代表平台或区块链验证了设计质量和合同权利。</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说明在首屏可见，不藏在服务条款中。</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VER-06</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metadataDigest与平台JSON快照不一致时显示“链下详情完整性校验失败”。</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不得继续显示绿色有效结论。</w:t>
            </w:r>
          </w:p>
        </w:tc>
      </w:tr>
    </w:tbl>
    <w:p>
      <w:pPr>
        <w:spacing w:after="20"/>
      </w:pPr>
    </w:p>
    <w:p>
      <w:pPr>
        <w:pStyle w:val="Heading2"/>
      </w:pPr>
      <w:r>
        <w:rPr>
          <w:rFonts w:ascii="Noto Sans CJK SC" w:hAnsi="Noto Sans CJK SC" w:eastAsia="Noto Sans CJK SC" w:cs="Noto Sans CJK SC"/>
          <w:b/>
          <w:i w:val="0"/>
          <w:color w:val="2F5597"/>
          <w:sz w:val="26"/>
        </w:rPr>
        <w:t>5.7 撤销与异常处理</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13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需求ID</w:t>
            </w:r>
          </w:p>
        </w:tc>
        <w:tc>
          <w:tcPr>
            <w:tcW w:type="dxa" w:w="7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优先级</w:t>
            </w:r>
          </w:p>
        </w:tc>
        <w:tc>
          <w:tcPr>
            <w:tcW w:type="dxa" w:w="419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需求描述</w:t>
            </w:r>
          </w:p>
        </w:tc>
        <w:tc>
          <w:tcPr>
            <w:tcW w:type="dxa" w:w="323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验收标准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REV-01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签发方可对自己签发且revocable的凭证发起EAS撤销交易。</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非签发方钱包不能在产品中发起撤销。</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REV-02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撤销前要求填写链下原因并二次确认；原因不可包含敏感信息。</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链上状态变为revoked，平台显示撤销时间和公开原因。</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REV-03</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已撤销凭证保留原始内容和历史，不从设计师记录中物理删除。</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验证页醒目标记“已撤销，不应作为有效证明使用”。</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ERR-01</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RPC或索引服务不可用时，验证页显示“暂时无法完成链上核验”，不得用数据库状态替代。</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恢复后可重新查询。</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7365D"/>
                <w:sz w:val="16"/>
              </w:rPr>
              <w:t>ERR-02</w:t>
            </w:r>
          </w:p>
        </w:tc>
        <w:tc>
          <w:tcPr>
            <w:tcW w:type="dxa" w:w="2353"/>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6"/>
              </w:rPr>
              <w:t>P0</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钱包网络错误时引导切换Base Sepolia。</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切换前不发送交易。</w:t>
            </w:r>
          </w:p>
        </w:tc>
      </w:tr>
    </w:tbl>
    <w:p>
      <w:pPr>
        <w:spacing w:after="20"/>
      </w:pPr>
    </w:p>
    <w:p>
      <w:pPr>
        <w:pStyle w:val="Heading1"/>
      </w:pPr>
      <w:r>
        <w:rPr>
          <w:rFonts w:ascii="Noto Sans CJK SC" w:hAnsi="Noto Sans CJK SC" w:eastAsia="Noto Sans CJK SC" w:cs="Noto Sans CJK SC"/>
          <w:b/>
          <w:i w:val="0"/>
          <w:color w:val="17365D"/>
          <w:sz w:val="34"/>
        </w:rPr>
        <w:t>六、链上凭证设计</w:t>
      </w:r>
    </w:p>
    <w:p>
      <w:pPr>
        <w:pStyle w:val="Heading2"/>
      </w:pPr>
      <w:r>
        <w:rPr>
          <w:rFonts w:ascii="Noto Sans CJK SC" w:hAnsi="Noto Sans CJK SC" w:eastAsia="Noto Sans CJK SC" w:cs="Noto Sans CJK SC"/>
          <w:b/>
          <w:i w:val="0"/>
          <w:color w:val="2F5597"/>
          <w:sz w:val="26"/>
        </w:rPr>
        <w:t>6.1 技术选择</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MVP采用Base Sepolia测试网与Ethereum Attestation Service（EAS）。EAS提供Schema Registry和Attestation合约：schema定义声明数据结构，签发方使用钱包对结构化数据签名并写入链上；凭证可以被设置为可撤销，撤销会改变有效状态但保留历史。MVP不自行开发NFT合约，不创建可转让资产。</w:t>
      </w:r>
    </w:p>
    <w:p>
      <w:pPr>
        <w:pStyle w:val="Heading2"/>
      </w:pPr>
      <w:r>
        <w:rPr>
          <w:rFonts w:ascii="Noto Sans CJK SC" w:hAnsi="Noto Sans CJK SC" w:eastAsia="Noto Sans CJK SC" w:cs="Noto Sans CJK SC"/>
          <w:b/>
          <w:i w:val="0"/>
          <w:color w:val="2F5597"/>
          <w:sz w:val="26"/>
        </w:rPr>
        <w:t>6.2 为什么使用Attestation而不是NFT</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32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比较维度</w:t>
            </w:r>
          </w:p>
        </w:tc>
        <w:tc>
          <w:tcPr>
            <w:tcW w:type="dxa" w:w="3402"/>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NFT思路</w:t>
            </w:r>
          </w:p>
        </w:tc>
        <w:tc>
          <w:tcPr>
            <w:tcW w:type="dxa" w:w="351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EAS Attestation思路</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产品语义</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强调资产所有权、持有与转移，容易让用户误解为“证书可以买卖”。</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强调某个签发方对某个接收者作出声明，更符合职业经历。</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转让</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通常需要额外实现不可转让逻辑。</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recipient固定为设计师地址，声明本身不是可交易资产。</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撤销</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需要自定义状态或销毁逻辑。</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schema可设置revocable并使用标准撤销接口。</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开发量</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需要编写、部署和审计自定义合约。</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使用已部署基础设施，只注册schema并调用SDK。</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验证</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需自行设计字段解析和生命周期。</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attester、recipient、time、revocation等为标准结构。</w:t>
            </w:r>
          </w:p>
        </w:tc>
      </w:tr>
    </w:tbl>
    <w:p>
      <w:pPr>
        <w:pStyle w:val="Heading2"/>
      </w:pPr>
      <w:r>
        <w:rPr>
          <w:rFonts w:ascii="Noto Sans CJK SC" w:hAnsi="Noto Sans CJK SC" w:eastAsia="Noto Sans CJK SC" w:cs="Noto Sans CJK SC"/>
          <w:b/>
          <w:i w:val="0"/>
          <w:color w:val="2F5597"/>
          <w:sz w:val="26"/>
        </w:rPr>
        <w:t>6.3 EAS Schema</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建议注册一个可撤销schema。EAS自身已经保存attester、recipient、time、revocationTime、revocable、refUID等公共字段，因此业务schema不重复保存这些内容。</w:t>
      </w:r>
    </w:p>
    <w:tbl>
      <w:tblPr>
        <w:tblW w:type="auto" w:w="0"/>
        <w:jc w:val="center"/>
        <w:tblLayout w:type="fixed"/>
        <w:tblLook w:firstColumn="1" w:firstRow="1" w:lastColumn="0" w:lastRow="0" w:noHBand="0" w:noVBand="1" w:val="04A0"/>
      </w:tblPr>
      <w:tblGrid>
        <w:gridCol w:w="9184"/>
      </w:tblGrid>
      <w:tr>
        <w:trPr>
          <w:cantSplit/>
        </w:trPr>
        <w:tc>
          <w:tcPr>
            <w:tcW w:type="dxa" w:w="9412"/>
            <w:shd w:fill="F7F7F7"/>
            <w:tcBorders>
              <w:top w:val="single" w:sz="4" w:color="D9E1E8"/>
              <w:left w:val="single" w:sz="4" w:color="D9E1E8"/>
              <w:bottom w:val="single" w:sz="4" w:color="D9E1E8"/>
              <w:right w:val="single" w:sz="4" w:color="D9E1E8"/>
            </w:tcBorders>
            <w:tcMar>
              <w:top w:w="120" w:type="dxa"/>
              <w:start w:w="160" w:type="dxa"/>
              <w:bottom w:w="120" w:type="dxa"/>
              <w:end w:w="160" w:type="dxa"/>
            </w:tcMar>
          </w:tcPr>
          <w:p>
            <w:pPr>
              <w:pStyle w:val="CodeBlock"/>
              <w:widowControl/>
              <w:spacing w:after="0"/>
            </w:pPr>
            <w:r>
              <w:rPr>
                <w:rFonts w:ascii="DejaVu Sans Mono" w:hAnsi="DejaVu Sans Mono" w:eastAsia="DejaVu Sans Mono" w:cs="DejaVu Sans Mono"/>
                <w:b w:val="0"/>
                <w:i w:val="0"/>
                <w:color w:val="263238"/>
                <w:sz w:val="16"/>
              </w:rPr>
              <w:t>bytes32 projectRefHash,</w:t>
            </w:r>
            <w:r>
              <w:br/>
            </w:r>
            <w:r>
              <w:rPr>
                <w:rFonts w:ascii="DejaVu Sans Mono" w:hAnsi="DejaVu Sans Mono" w:eastAsia="DejaVu Sans Mono" w:cs="DejaVu Sans Mono"/>
                <w:b w:val="0"/>
                <w:i w:val="0"/>
                <w:color w:val="263238"/>
                <w:sz w:val="16"/>
              </w:rPr>
              <w:t>bytes32 evidenceHash,</w:t>
            </w:r>
            <w:r>
              <w:br/>
            </w:r>
            <w:r>
              <w:rPr>
                <w:rFonts w:ascii="DejaVu Sans Mono" w:hAnsi="DejaVu Sans Mono" w:eastAsia="DejaVu Sans Mono" w:cs="DejaVu Sans Mono"/>
                <w:b w:val="0"/>
                <w:i w:val="0"/>
                <w:color w:val="263238"/>
                <w:sz w:val="16"/>
              </w:rPr>
              <w:t>bytes32 metadataDigest,</w:t>
            </w:r>
            <w:r>
              <w:br/>
            </w:r>
            <w:r>
              <w:rPr>
                <w:rFonts w:ascii="DejaVu Sans Mono" w:hAnsi="DejaVu Sans Mono" w:eastAsia="DejaVu Sans Mono" w:cs="DejaVu Sans Mono"/>
                <w:b w:val="0"/>
                <w:i w:val="0"/>
                <w:color w:val="263238"/>
                <w:sz w:val="16"/>
              </w:rPr>
              <w:t>string projectCategory,</w:t>
            </w:r>
            <w:r>
              <w:br/>
            </w:r>
            <w:r>
              <w:rPr>
                <w:rFonts w:ascii="DejaVu Sans Mono" w:hAnsi="DejaVu Sans Mono" w:eastAsia="DejaVu Sans Mono" w:cs="DejaVu Sans Mono"/>
                <w:b w:val="0"/>
                <w:i w:val="0"/>
                <w:color w:val="263238"/>
                <w:sz w:val="16"/>
              </w:rPr>
              <w:t>string role,</w:t>
            </w:r>
            <w:r>
              <w:br/>
            </w:r>
            <w:r>
              <w:rPr>
                <w:rFonts w:ascii="DejaVu Sans Mono" w:hAnsi="DejaVu Sans Mono" w:eastAsia="DejaVu Sans Mono" w:cs="DejaVu Sans Mono"/>
                <w:b w:val="0"/>
                <w:i w:val="0"/>
                <w:color w:val="263238"/>
                <w:sz w:val="16"/>
              </w:rPr>
              <w:t>string publicSummary,</w:t>
            </w:r>
            <w:r>
              <w:br/>
            </w:r>
            <w:r>
              <w:rPr>
                <w:rFonts w:ascii="DejaVu Sans Mono" w:hAnsi="DejaVu Sans Mono" w:eastAsia="DejaVu Sans Mono" w:cs="DejaVu Sans Mono"/>
                <w:b w:val="0"/>
                <w:i w:val="0"/>
                <w:color w:val="263238"/>
                <w:sz w:val="16"/>
              </w:rPr>
              <w:t>uint64 startedAt,</w:t>
            </w:r>
            <w:r>
              <w:br/>
            </w:r>
            <w:r>
              <w:rPr>
                <w:rFonts w:ascii="DejaVu Sans Mono" w:hAnsi="DejaVu Sans Mono" w:eastAsia="DejaVu Sans Mono" w:cs="DejaVu Sans Mono"/>
                <w:b w:val="0"/>
                <w:i w:val="0"/>
                <w:color w:val="263238"/>
                <w:sz w:val="16"/>
              </w:rPr>
              <w:t>uint64 completedAt,</w:t>
            </w:r>
            <w:r>
              <w:br/>
            </w:r>
            <w:r>
              <w:rPr>
                <w:rFonts w:ascii="DejaVu Sans Mono" w:hAnsi="DejaVu Sans Mono" w:eastAsia="DejaVu Sans Mono" w:cs="DejaVu Sans Mono"/>
                <w:b w:val="0"/>
                <w:i w:val="0"/>
                <w:color w:val="263238"/>
                <w:sz w:val="16"/>
              </w:rPr>
              <w:t>uint8 confidentialityLevel,</w:t>
            </w:r>
            <w:r>
              <w:br/>
            </w:r>
            <w:r>
              <w:rPr>
                <w:rFonts w:ascii="DejaVu Sans Mono" w:hAnsi="DejaVu Sans Mono" w:eastAsia="DejaVu Sans Mono" w:cs="DejaVu Sans Mono"/>
                <w:b w:val="0"/>
                <w:i w:val="0"/>
                <w:color w:val="263238"/>
                <w:sz w:val="16"/>
              </w:rPr>
              <w:t>uint8 evidenceLevel,</w:t>
            </w:r>
            <w:r>
              <w:br/>
            </w:r>
            <w:r>
              <w:rPr>
                <w:rFonts w:ascii="DejaVu Sans Mono" w:hAnsi="DejaVu Sans Mono" w:eastAsia="DejaVu Sans Mono" w:cs="DejaVu Sans Mono"/>
                <w:b w:val="0"/>
                <w:i w:val="0"/>
                <w:color w:val="263238"/>
                <w:sz w:val="16"/>
              </w:rPr>
              <w:t>uint16 schemaVersion</w:t>
            </w:r>
          </w:p>
        </w:tc>
      </w:tr>
    </w:tbl>
    <w:p>
      <w:pPr>
        <w:spacing w:after="20"/>
      </w:pPr>
    </w:p>
    <w:p>
      <w:r>
        <w:br w:type="page"/>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98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7"/>
              </w:rPr>
              <w:t>字段</w:t>
            </w:r>
          </w:p>
        </w:tc>
        <w:tc>
          <w:tcPr>
            <w:tcW w:type="dxa" w:w="1247"/>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7"/>
              </w:rPr>
              <w:t>类型</w:t>
            </w:r>
          </w:p>
        </w:tc>
        <w:tc>
          <w:tcPr>
            <w:tcW w:type="dxa" w:w="24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7"/>
              </w:rPr>
              <w:t>含义</w:t>
            </w:r>
          </w:p>
        </w:tc>
        <w:tc>
          <w:tcPr>
            <w:tcW w:type="dxa" w:w="232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7"/>
              </w:rPr>
              <w:t>生成/填写规则</w:t>
            </w:r>
          </w:p>
        </w:tc>
        <w:tc>
          <w:tcPr>
            <w:tcW w:type="dxa" w:w="170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7"/>
              </w:rPr>
              <w:t>是否公开</w:t>
            </w:r>
          </w:p>
        </w:tc>
      </w:tr>
      <w:tr>
        <w:trPr>
          <w:cantSplit/>
        </w:trPr>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projectRefHash</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bytes32</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匿名项目引用</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keccak256(projectId + randomSalt)，不使用客户名直接哈希</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evidenceHash</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bytes32</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验收版本文件指纹</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文件原始字节SHA-256后转bytes32</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metadataDigest</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bytes32</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链下规范化JSON完整性摘要</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对固定字段顺序的canonical JSON做SHA-256</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projectCategory</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string</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项目类型</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从受控枚举选择，如电商视觉、UI、海报</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role</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string</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设计师角色</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从受控枚举或短文本填写</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publicSummary</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string</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可公开贡献摘要</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长度限制；禁止客户和未发布信息</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startedAt</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uint64</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项目开始时间</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Unix秒级时间戳</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completedAt</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uint64</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验收完成时间</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不得早于startedAt</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confidentialityLevel</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uint8</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披露级别</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0公开摘要；1匿名行业；2仅角色与类别</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evidenceLevel</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uint8</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凭证证据类型</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1签发方确认；2确认+文件哈希；3多方确认（预留）</w:t>
            </w:r>
          </w:p>
        </w:tc>
        <w:tc>
          <w:tcPr>
            <w:tcW w:type="dxa" w:w="1882"/>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schemaVersion</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uint16</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业务schema版本</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MVP固定为1</w:t>
            </w:r>
          </w:p>
        </w:tc>
        <w:tc>
          <w:tcPr>
            <w:tcW w:type="dxa" w:w="1882"/>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bl>
    <w:p>
      <w:pPr>
        <w:pStyle w:val="Heading2"/>
      </w:pPr>
      <w:r>
        <w:rPr>
          <w:rFonts w:ascii="Noto Sans CJK SC" w:hAnsi="Noto Sans CJK SC" w:eastAsia="Noto Sans CJK SC" w:cs="Noto Sans CJK SC"/>
          <w:b/>
          <w:i w:val="0"/>
          <w:color w:val="2F5597"/>
          <w:sz w:val="26"/>
        </w:rPr>
        <w:t>6.4 业务凭证示例</w:t>
      </w:r>
    </w:p>
    <w:tbl>
      <w:tblPr>
        <w:tblW w:type="auto" w:w="0"/>
        <w:jc w:val="center"/>
        <w:tblLayout w:type="fixed"/>
        <w:tblLook w:firstColumn="1" w:firstRow="1" w:lastColumn="0" w:lastRow="0" w:noHBand="0" w:noVBand="1" w:val="04A0"/>
      </w:tblPr>
      <w:tblGrid>
        <w:gridCol w:w="9184"/>
      </w:tblGrid>
      <w:tr>
        <w:trPr>
          <w:cantSplit/>
        </w:trPr>
        <w:tc>
          <w:tcPr>
            <w:tcW w:type="dxa" w:w="9412"/>
            <w:shd w:fill="F7F7F7"/>
            <w:tcBorders>
              <w:top w:val="single" w:sz="4" w:color="D9E1E8"/>
              <w:left w:val="single" w:sz="4" w:color="D9E1E8"/>
              <w:bottom w:val="single" w:sz="4" w:color="D9E1E8"/>
              <w:right w:val="single" w:sz="4" w:color="D9E1E8"/>
            </w:tcBorders>
            <w:tcMar>
              <w:top w:w="120" w:type="dxa"/>
              <w:start w:w="160" w:type="dxa"/>
              <w:bottom w:w="120" w:type="dxa"/>
              <w:end w:w="160" w:type="dxa"/>
            </w:tcMar>
          </w:tcPr>
          <w:p>
            <w:pPr>
              <w:pStyle w:val="CodeBlock"/>
              <w:widowControl/>
              <w:spacing w:after="0"/>
            </w:pPr>
            <w:r>
              <w:rPr>
                <w:rFonts w:ascii="DejaVu Sans Mono" w:hAnsi="DejaVu Sans Mono" w:eastAsia="DejaVu Sans Mono" w:cs="DejaVu Sans Mono"/>
                <w:b w:val="0"/>
                <w:i w:val="0"/>
                <w:color w:val="263238"/>
                <w:sz w:val="16"/>
              </w:rPr>
              <w:t>{</w:t>
            </w:r>
            <w:r>
              <w:br/>
            </w:r>
            <w:r>
              <w:rPr>
                <w:rFonts w:ascii="DejaVu Sans Mono" w:hAnsi="DejaVu Sans Mono" w:eastAsia="DejaVu Sans Mono" w:cs="DejaVu Sans Mono"/>
                <w:b w:val="0"/>
                <w:i w:val="0"/>
                <w:color w:val="263238"/>
                <w:sz w:val="16"/>
              </w:rPr>
              <w:t xml:space="preserve">  "attestationUID": "0x…",</w:t>
            </w:r>
            <w:r>
              <w:br/>
            </w:r>
            <w:r>
              <w:rPr>
                <w:rFonts w:ascii="DejaVu Sans Mono" w:hAnsi="DejaVu Sans Mono" w:eastAsia="DejaVu Sans Mono" w:cs="DejaVu Sans Mono"/>
                <w:b w:val="0"/>
                <w:i w:val="0"/>
                <w:color w:val="263238"/>
                <w:sz w:val="16"/>
              </w:rPr>
              <w:t xml:space="preserve">  "attester": "0xIssuerWallet",</w:t>
            </w:r>
            <w:r>
              <w:br/>
            </w:r>
            <w:r>
              <w:rPr>
                <w:rFonts w:ascii="DejaVu Sans Mono" w:hAnsi="DejaVu Sans Mono" w:eastAsia="DejaVu Sans Mono" w:cs="DejaVu Sans Mono"/>
                <w:b w:val="0"/>
                <w:i w:val="0"/>
                <w:color w:val="263238"/>
                <w:sz w:val="16"/>
              </w:rPr>
              <w:t xml:space="preserve">  "recipient": "0xDesignerWallet",</w:t>
            </w:r>
            <w:r>
              <w:br/>
            </w:r>
            <w:r>
              <w:rPr>
                <w:rFonts w:ascii="DejaVu Sans Mono" w:hAnsi="DejaVu Sans Mono" w:eastAsia="DejaVu Sans Mono" w:cs="DejaVu Sans Mono"/>
                <w:b w:val="0"/>
                <w:i w:val="0"/>
                <w:color w:val="263238"/>
                <w:sz w:val="16"/>
              </w:rPr>
              <w:t xml:space="preserve">  "projectCategory": "电商视觉设计",</w:t>
            </w:r>
            <w:r>
              <w:br/>
            </w:r>
            <w:r>
              <w:rPr>
                <w:rFonts w:ascii="DejaVu Sans Mono" w:hAnsi="DejaVu Sans Mono" w:eastAsia="DejaVu Sans Mono" w:cs="DejaVu Sans Mono"/>
                <w:b w:val="0"/>
                <w:i w:val="0"/>
                <w:color w:val="263238"/>
                <w:sz w:val="16"/>
              </w:rPr>
              <w:t xml:space="preserve">  "role": "详情页执行设计师",</w:t>
            </w:r>
            <w:r>
              <w:br/>
            </w:r>
            <w:r>
              <w:rPr>
                <w:rFonts w:ascii="DejaVu Sans Mono" w:hAnsi="DejaVu Sans Mono" w:eastAsia="DejaVu Sans Mono" w:cs="DejaVu Sans Mono"/>
                <w:b w:val="0"/>
                <w:i w:val="0"/>
                <w:color w:val="263238"/>
                <w:sz w:val="16"/>
              </w:rPr>
              <w:t xml:space="preserve">  "publicSummary": "完成6个商品详情页的视觉排版与两轮修改",</w:t>
            </w:r>
            <w:r>
              <w:br/>
            </w:r>
            <w:r>
              <w:rPr>
                <w:rFonts w:ascii="DejaVu Sans Mono" w:hAnsi="DejaVu Sans Mono" w:eastAsia="DejaVu Sans Mono" w:cs="DejaVu Sans Mono"/>
                <w:b w:val="0"/>
                <w:i w:val="0"/>
                <w:color w:val="263238"/>
                <w:sz w:val="16"/>
              </w:rPr>
              <w:t xml:space="preserve">  "startedAt": "2026-07-03",</w:t>
            </w:r>
            <w:r>
              <w:br/>
            </w:r>
            <w:r>
              <w:rPr>
                <w:rFonts w:ascii="DejaVu Sans Mono" w:hAnsi="DejaVu Sans Mono" w:eastAsia="DejaVu Sans Mono" w:cs="DejaVu Sans Mono"/>
                <w:b w:val="0"/>
                <w:i w:val="0"/>
                <w:color w:val="263238"/>
                <w:sz w:val="16"/>
              </w:rPr>
              <w:t xml:space="preserve">  "completedAt": "2026-07-20",</w:t>
            </w:r>
            <w:r>
              <w:br/>
            </w:r>
            <w:r>
              <w:rPr>
                <w:rFonts w:ascii="DejaVu Sans Mono" w:hAnsi="DejaVu Sans Mono" w:eastAsia="DejaVu Sans Mono" w:cs="DejaVu Sans Mono"/>
                <w:b w:val="0"/>
                <w:i w:val="0"/>
                <w:color w:val="263238"/>
                <w:sz w:val="16"/>
              </w:rPr>
              <w:t xml:space="preserve">  "evidenceLevel": 2,</w:t>
            </w:r>
            <w:r>
              <w:br/>
            </w:r>
            <w:r>
              <w:rPr>
                <w:rFonts w:ascii="DejaVu Sans Mono" w:hAnsi="DejaVu Sans Mono" w:eastAsia="DejaVu Sans Mono" w:cs="DejaVu Sans Mono"/>
                <w:b w:val="0"/>
                <w:i w:val="0"/>
                <w:color w:val="263238"/>
                <w:sz w:val="16"/>
              </w:rPr>
              <w:t xml:space="preserve">  "revoked": false</w:t>
            </w:r>
            <w:r>
              <w:br/>
            </w:r>
            <w:r>
              <w:rPr>
                <w:rFonts w:ascii="DejaVu Sans Mono" w:hAnsi="DejaVu Sans Mono" w:eastAsia="DejaVu Sans Mono" w:cs="DejaVu Sans Mono"/>
                <w:b w:val="0"/>
                <w:i w:val="0"/>
                <w:color w:val="263238"/>
                <w:sz w:val="16"/>
              </w:rPr>
              <w:t>}</w:t>
            </w:r>
          </w:p>
        </w:tc>
      </w:tr>
    </w:tbl>
    <w:p>
      <w:pPr>
        <w:spacing w:after="20"/>
      </w:pPr>
    </w:p>
    <w:p>
      <w:pPr>
        <w:pStyle w:val="Heading2"/>
      </w:pPr>
      <w:r>
        <w:rPr>
          <w:rFonts w:ascii="Noto Sans CJK SC" w:hAnsi="Noto Sans CJK SC" w:eastAsia="Noto Sans CJK SC" w:cs="Noto Sans CJK SC"/>
          <w:b/>
          <w:i w:val="0"/>
          <w:color w:val="2F5597"/>
          <w:sz w:val="26"/>
        </w:rPr>
        <w:t>6.5 与可验证凭证标准的关系</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MVP的产品角色与W3C Verifiable Credentials数据模型中的Issuer、Holder和Verifier概念一致，但首版不宣称生成完整W3C VC 2.0格式。EAS attestation是本MVP的链上可验证记录；后续可以把同一字段映射成标准化VC，供设计师导出到独立钱包。这样可以保持产品概念兼容，同时避免首版同时实现多套签名、状态和展示协议。</w:t>
      </w:r>
    </w:p>
    <w:p>
      <w:pPr>
        <w:pStyle w:val="Heading1"/>
      </w:pPr>
      <w:r>
        <w:rPr>
          <w:rFonts w:ascii="Noto Sans CJK SC" w:hAnsi="Noto Sans CJK SC" w:eastAsia="Noto Sans CJK SC" w:cs="Noto Sans CJK SC"/>
          <w:b/>
          <w:i w:val="0"/>
          <w:color w:val="17365D"/>
          <w:sz w:val="34"/>
        </w:rPr>
        <w:t>七、链上与链下数据边界</w:t>
      </w:r>
    </w:p>
    <w:tbl>
      <w:tblPr>
        <w:tblW w:type="auto" w:w="0"/>
        <w:jc w:val="center"/>
        <w:tblLayout w:type="fixed"/>
        <w:tblLook w:firstColumn="1" w:firstRow="1" w:lastColumn="0" w:lastRow="0" w:noHBand="0" w:noVBand="1" w:val="04A0"/>
      </w:tblPr>
      <w:tblGrid>
        <w:gridCol w:w="9298"/>
      </w:tblGrid>
      <w:tr>
        <w:trPr>
          <w:cantSplit/>
        </w:trPr>
        <w:tc>
          <w:tcPr>
            <w:tcW w:type="dxa" w:w="9412"/>
            <w:shd w:fill="F4CCCC"/>
            <w:tcBorders>
              <w:top w:val="single" w:sz="8" w:color="A61C00"/>
              <w:left w:val="single" w:sz="8" w:color="A61C00"/>
              <w:bottom w:val="single" w:sz="8" w:color="A61C00"/>
              <w:right w:val="single" w:sz="8" w:color="A61C00"/>
            </w:tcBorders>
            <w:tcMar>
              <w:top w:w="120" w:type="dxa"/>
              <w:start w:w="150" w:type="dxa"/>
              <w:bottom w:w="120" w:type="dxa"/>
              <w:end w:w="150" w:type="dxa"/>
            </w:tcMar>
          </w:tcPr>
          <w:p>
            <w:pPr>
              <w:keepNext w:val="0"/>
              <w:keepLines w:val="0"/>
              <w:widowControl/>
              <w:spacing w:before="0" w:after="60" w:line="300" w:lineRule="auto"/>
            </w:pPr>
            <w:r>
              <w:rPr>
                <w:rFonts w:ascii="Noto Sans CJK SC" w:hAnsi="Noto Sans CJK SC" w:eastAsia="Noto Sans CJK SC" w:cs="Noto Sans CJK SC"/>
                <w:b/>
                <w:i w:val="0"/>
                <w:color w:val="A61C00"/>
                <w:sz w:val="22"/>
              </w:rPr>
              <w:t>隐私原则</w:t>
            </w:r>
          </w:p>
          <w:p>
            <w:pPr>
              <w:keepNext w:val="0"/>
              <w:keepLines w:val="0"/>
              <w:widowControl/>
              <w:spacing w:before="0" w:after="0" w:line="343" w:lineRule="auto"/>
            </w:pPr>
            <w:r>
              <w:rPr>
                <w:rFonts w:ascii="Noto Sans CJK SC" w:hAnsi="Noto Sans CJK SC" w:eastAsia="Noto Sans CJK SC" w:cs="Noto Sans CJK SC"/>
                <w:b w:val="0"/>
                <w:i w:val="0"/>
                <w:color w:val="263238"/>
                <w:sz w:val="20"/>
              </w:rPr>
              <w:t>任何上链内容都应被视为永久公开、可被第三方索引和复制。即使未来撤销，历史内容仍然存在。因此MVP不是把资料“加密后全部上链”，而是只上链最少的公开声明和不可逆摘要。</w:t>
            </w:r>
          </w:p>
        </w:tc>
      </w:tr>
    </w:tbl>
    <w:p>
      <w:pPr>
        <w:spacing w:after="20"/>
      </w:pP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信息类别</w:t>
            </w:r>
          </w:p>
        </w:tc>
        <w:tc>
          <w:tcPr>
            <w:tcW w:type="dxa" w:w="24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链上保存</w:t>
            </w:r>
          </w:p>
        </w:tc>
        <w:tc>
          <w:tcPr>
            <w:tcW w:type="dxa" w:w="24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链下保存</w:t>
            </w:r>
          </w:p>
        </w:tc>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公开验证页</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身份</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钱包地址；签发者/接收者关系</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昵称、工作室名称、认证资料</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钱包地址与链下身份标签</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项目</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projectRefHash、类别、角色、时间</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内部projectId、salt、客户内部备注</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匿名类别、角色和时间</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成果</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evidenceHash、evidenceLevel</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原始文件、版本、文件名、对象存储键</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只展示哈希和证据类型</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描述</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publicSummary</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私有备注、驳回原因、完整任务要求</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仅publicSummary</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商业信息</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不保存</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客户名、联系方式、报价、利润、合同</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不展示</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凭证状态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attestationUID、时间、撤销状态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撤销公开原因、操作日志</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实时链上状态+公开原因</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完整性</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metadataDigest</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canonical JSON快照</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显示摘要校验结果</w:t>
            </w:r>
          </w:p>
        </w:tc>
      </w:tr>
    </w:tbl>
    <w:p>
      <w:pPr>
        <w:pStyle w:val="Heading2"/>
      </w:pPr>
      <w:r>
        <w:rPr>
          <w:rFonts w:ascii="Noto Sans CJK SC" w:hAnsi="Noto Sans CJK SC" w:eastAsia="Noto Sans CJK SC" w:cs="Noto Sans CJK SC"/>
          <w:b/>
          <w:i w:val="0"/>
          <w:color w:val="2F5597"/>
          <w:sz w:val="26"/>
        </w:rPr>
        <w:t>7.1 明确禁止上链的数据</w:t>
      </w:r>
    </w:p>
    <w:p>
      <w:pPr>
        <w:pStyle w:val="ListBullet"/>
        <w:keepNext w:val="0"/>
        <w:keepLines w:val="0"/>
        <w:spacing w:before="0" w:after="60" w:line="322" w:lineRule="auto"/>
      </w:pPr>
      <w:r>
        <w:rPr>
          <w:rFonts w:ascii="Noto Sans CJK SC" w:hAnsi="Noto Sans CJK SC" w:eastAsia="Noto Sans CJK SC" w:cs="Noto Sans CJK SC"/>
          <w:b w:val="0"/>
          <w:i w:val="0"/>
          <w:color w:val="A61C00"/>
          <w:sz w:val="20"/>
        </w:rPr>
        <w:t>客户真实名称、品牌未公开项目代号、联系方式和地址。</w:t>
      </w:r>
    </w:p>
    <w:p>
      <w:pPr>
        <w:pStyle w:val="ListBullet"/>
        <w:keepNext w:val="0"/>
        <w:keepLines w:val="0"/>
        <w:spacing w:before="0" w:after="60" w:line="322" w:lineRule="auto"/>
      </w:pPr>
      <w:r>
        <w:rPr>
          <w:rFonts w:ascii="Noto Sans CJK SC" w:hAnsi="Noto Sans CJK SC" w:eastAsia="Noto Sans CJK SC" w:cs="Noto Sans CJK SC"/>
          <w:b w:val="0"/>
          <w:i w:val="0"/>
          <w:color w:val="A61C00"/>
          <w:sz w:val="20"/>
        </w:rPr>
        <w:t>项目报价、外包差价、支付流水、利润率和税务资料。</w:t>
      </w:r>
    </w:p>
    <w:p>
      <w:pPr>
        <w:pStyle w:val="ListBullet"/>
        <w:keepNext w:val="0"/>
        <w:keepLines w:val="0"/>
        <w:spacing w:before="0" w:after="60" w:line="322" w:lineRule="auto"/>
      </w:pPr>
      <w:r>
        <w:rPr>
          <w:rFonts w:ascii="Noto Sans CJK SC" w:hAnsi="Noto Sans CJK SC" w:eastAsia="Noto Sans CJK SC" w:cs="Noto Sans CJK SC"/>
          <w:b w:val="0"/>
          <w:i w:val="0"/>
          <w:color w:val="A61C00"/>
          <w:sz w:val="20"/>
        </w:rPr>
        <w:t>合同全文、聊天记录、身份证件、真实姓名和手机号。</w:t>
      </w:r>
    </w:p>
    <w:p>
      <w:pPr>
        <w:pStyle w:val="ListBullet"/>
        <w:keepNext w:val="0"/>
        <w:keepLines w:val="0"/>
        <w:spacing w:before="0" w:after="60" w:line="322" w:lineRule="auto"/>
      </w:pPr>
      <w:r>
        <w:rPr>
          <w:rFonts w:ascii="Noto Sans CJK SC" w:hAnsi="Noto Sans CJK SC" w:eastAsia="Noto Sans CJK SC" w:cs="Noto Sans CJK SC"/>
          <w:b w:val="0"/>
          <w:i w:val="0"/>
          <w:color w:val="A61C00"/>
          <w:sz w:val="20"/>
        </w:rPr>
        <w:t>设计源文件、未发布视觉稿、可还原商业秘密的缩略图。</w:t>
      </w:r>
    </w:p>
    <w:p>
      <w:pPr>
        <w:pStyle w:val="ListBullet"/>
        <w:keepNext w:val="0"/>
        <w:keepLines w:val="0"/>
        <w:spacing w:before="0" w:after="60" w:line="322" w:lineRule="auto"/>
      </w:pPr>
      <w:r>
        <w:rPr>
          <w:rFonts w:ascii="Noto Sans CJK SC" w:hAnsi="Noto Sans CJK SC" w:eastAsia="Noto Sans CJK SC" w:cs="Noto Sans CJK SC"/>
          <w:b w:val="0"/>
          <w:i w:val="0"/>
          <w:color w:val="A61C00"/>
          <w:sz w:val="20"/>
        </w:rPr>
        <w:t>未经相关方同意的负面评价、争议详情或个人敏感信息。</w:t>
      </w:r>
    </w:p>
    <w:p>
      <w:pPr>
        <w:pStyle w:val="Heading2"/>
      </w:pPr>
      <w:r>
        <w:rPr>
          <w:rFonts w:ascii="Noto Sans CJK SC" w:hAnsi="Noto Sans CJK SC" w:eastAsia="Noto Sans CJK SC" w:cs="Noto Sans CJK SC"/>
          <w:b/>
          <w:i w:val="0"/>
          <w:color w:val="2F5597"/>
          <w:sz w:val="26"/>
        </w:rPr>
        <w:t>7.2 哈希使用规则</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项目引用必须加入高熵随机salt后再哈希，防止通过已知订单号或客户名进行字典猜测。</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文件哈希用于判断“当前文件是否与当时验收版本字节一致”，不能单独证明创作者身份或版权归属。</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metadataDigest采用确定性的字段顺序和编码规则，否则同一内容可能产生不同摘要。</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哈希算法和编码方式必须写入技术文档，MVP固定为SHA-256与0x前缀十六进制。</w:t>
      </w:r>
    </w:p>
    <w:p>
      <w:pPr>
        <w:pStyle w:val="Heading1"/>
      </w:pPr>
      <w:r>
        <w:rPr>
          <w:rFonts w:ascii="Noto Sans CJK SC" w:hAnsi="Noto Sans CJK SC" w:eastAsia="Noto Sans CJK SC" w:cs="Noto Sans CJK SC"/>
          <w:b/>
          <w:i w:val="0"/>
          <w:color w:val="17365D"/>
          <w:sz w:val="34"/>
        </w:rPr>
        <w:t>八、技术架构</w:t>
      </w:r>
    </w:p>
    <w:p>
      <w:pPr>
        <w:pStyle w:val="Heading2"/>
      </w:pPr>
      <w:r>
        <w:rPr>
          <w:rFonts w:ascii="Noto Sans CJK SC" w:hAnsi="Noto Sans CJK SC" w:eastAsia="Noto Sans CJK SC" w:cs="Noto Sans CJK SC"/>
          <w:b/>
          <w:i w:val="0"/>
          <w:color w:val="2F5597"/>
          <w:sz w:val="26"/>
        </w:rPr>
        <w:t>8.1 总体架构</w:t>
      </w:r>
    </w:p>
    <w:tbl>
      <w:tblPr>
        <w:tblW w:type="auto" w:w="0"/>
        <w:jc w:val="center"/>
        <w:tblLayout w:type="fixed"/>
        <w:tblLook w:firstColumn="1" w:firstRow="1" w:lastColumn="0" w:lastRow="0" w:noHBand="0" w:noVBand="1" w:val="04A0"/>
      </w:tblPr>
      <w:tblGrid>
        <w:gridCol w:w="9184"/>
      </w:tblGrid>
      <w:tr>
        <w:trPr>
          <w:cantSplit/>
        </w:trPr>
        <w:tc>
          <w:tcPr>
            <w:tcW w:type="dxa" w:w="9412"/>
            <w:shd w:fill="F7F7F7"/>
            <w:tcBorders>
              <w:top w:val="single" w:sz="4" w:color="D9E1E8"/>
              <w:left w:val="single" w:sz="4" w:color="D9E1E8"/>
              <w:bottom w:val="single" w:sz="4" w:color="D9E1E8"/>
              <w:right w:val="single" w:sz="4" w:color="D9E1E8"/>
            </w:tcBorders>
            <w:tcMar>
              <w:top w:w="120" w:type="dxa"/>
              <w:start w:w="160" w:type="dxa"/>
              <w:bottom w:w="120" w:type="dxa"/>
              <w:end w:w="160" w:type="dxa"/>
            </w:tcMar>
          </w:tcPr>
          <w:p>
            <w:pPr>
              <w:pStyle w:val="CodeBlock"/>
              <w:widowControl/>
              <w:spacing w:after="0"/>
            </w:pPr>
            <w:r>
              <w:rPr>
                <w:rFonts w:ascii="DejaVu Sans Mono" w:hAnsi="DejaVu Sans Mono" w:eastAsia="DejaVu Sans Mono" w:cs="DejaVu Sans Mono"/>
                <w:b w:val="0"/>
                <w:i w:val="0"/>
                <w:color w:val="263238"/>
                <w:sz w:val="16"/>
              </w:rPr>
              <w:t>签发方/设计师 Web App (Next.js)</w:t>
            </w:r>
            <w:r>
              <w:br/>
            </w:r>
            <w:r>
              <w:rPr>
                <w:rFonts w:ascii="DejaVu Sans Mono" w:hAnsi="DejaVu Sans Mono" w:eastAsia="DejaVu Sans Mono" w:cs="DejaVu Sans Mono"/>
                <w:b w:val="0"/>
                <w:i w:val="0"/>
                <w:color w:val="263238"/>
                <w:sz w:val="16"/>
              </w:rPr>
              <w:t xml:space="preserve">        │ 钱包登录、任务操作、文件上传</w:t>
            </w:r>
            <w:r>
              <w:br/>
            </w:r>
            <w:r>
              <w:rPr>
                <w:rFonts w:ascii="DejaVu Sans Mono" w:hAnsi="DejaVu Sans Mono" w:eastAsia="DejaVu Sans Mono" w:cs="DejaVu Sans Mono"/>
                <w:b w:val="0"/>
                <w:i w:val="0"/>
                <w:color w:val="263238"/>
                <w:sz w:val="16"/>
              </w:rPr>
              <w:t xml:space="preserve">        ▼</w:t>
            </w:r>
            <w:r>
              <w:br/>
            </w:r>
            <w:r>
              <w:rPr>
                <w:rFonts w:ascii="DejaVu Sans Mono" w:hAnsi="DejaVu Sans Mono" w:eastAsia="DejaVu Sans Mono" w:cs="DejaVu Sans Mono"/>
                <w:b w:val="0"/>
                <w:i w:val="0"/>
                <w:color w:val="263238"/>
                <w:sz w:val="16"/>
              </w:rPr>
              <w:t>Application API (Node.js / NestJS或Next.js API)</w:t>
            </w:r>
            <w:r>
              <w:br/>
            </w:r>
            <w:r>
              <w:rPr>
                <w:rFonts w:ascii="DejaVu Sans Mono" w:hAnsi="DejaVu Sans Mono" w:eastAsia="DejaVu Sans Mono" w:cs="DejaVu Sans Mono"/>
                <w:b w:val="0"/>
                <w:i w:val="0"/>
                <w:color w:val="263238"/>
                <w:sz w:val="16"/>
              </w:rPr>
              <w:t xml:space="preserve">        ├── PostgreSQL：用户、任务、版本、凭证索引、日志</w:t>
            </w:r>
            <w:r>
              <w:br/>
            </w:r>
            <w:r>
              <w:rPr>
                <w:rFonts w:ascii="DejaVu Sans Mono" w:hAnsi="DejaVu Sans Mono" w:eastAsia="DejaVu Sans Mono" w:cs="DejaVu Sans Mono"/>
                <w:b w:val="0"/>
                <w:i w:val="0"/>
                <w:color w:val="263238"/>
                <w:sz w:val="16"/>
              </w:rPr>
              <w:t xml:space="preserve">        ├── Private Object Storage：成果证据文件</w:t>
            </w:r>
            <w:r>
              <w:br/>
            </w:r>
            <w:r>
              <w:rPr>
                <w:rFonts w:ascii="DejaVu Sans Mono" w:hAnsi="DejaVu Sans Mono" w:eastAsia="DejaVu Sans Mono" w:cs="DejaVu Sans Mono"/>
                <w:b w:val="0"/>
                <w:i w:val="0"/>
                <w:color w:val="263238"/>
                <w:sz w:val="16"/>
              </w:rPr>
              <w:t xml:space="preserve">        ├── Hash Service：SHA-256 / canonical JSON digest</w:t>
            </w:r>
            <w:r>
              <w:br/>
            </w:r>
            <w:r>
              <w:rPr>
                <w:rFonts w:ascii="DejaVu Sans Mono" w:hAnsi="DejaVu Sans Mono" w:eastAsia="DejaVu Sans Mono" w:cs="DejaVu Sans Mono"/>
                <w:b w:val="0"/>
                <w:i w:val="0"/>
                <w:color w:val="263238"/>
                <w:sz w:val="16"/>
              </w:rPr>
              <w:t xml:space="preserve">        └── EAS SDK / viem：注册Schema、签发、查询、撤销</w:t>
            </w:r>
            <w:r>
              <w:br/>
            </w:r>
            <w:r>
              <w:rPr>
                <w:rFonts w:ascii="DejaVu Sans Mono" w:hAnsi="DejaVu Sans Mono" w:eastAsia="DejaVu Sans Mono" w:cs="DejaVu Sans Mono"/>
                <w:b w:val="0"/>
                <w:i w:val="0"/>
                <w:color w:val="263238"/>
                <w:sz w:val="16"/>
              </w:rPr>
              <w:t xml:space="preserve">                                │</w:t>
            </w:r>
            <w:r>
              <w:br/>
            </w:r>
            <w:r>
              <w:rPr>
                <w:rFonts w:ascii="DejaVu Sans Mono" w:hAnsi="DejaVu Sans Mono" w:eastAsia="DejaVu Sans Mono" w:cs="DejaVu Sans Mono"/>
                <w:b w:val="0"/>
                <w:i w:val="0"/>
                <w:color w:val="263238"/>
                <w:sz w:val="16"/>
              </w:rPr>
              <w:t xml:space="preserve">                                ▼</w:t>
            </w:r>
            <w:r>
              <w:br/>
            </w:r>
            <w:r>
              <w:rPr>
                <w:rFonts w:ascii="DejaVu Sans Mono" w:hAnsi="DejaVu Sans Mono" w:eastAsia="DejaVu Sans Mono" w:cs="DejaVu Sans Mono"/>
                <w:b w:val="0"/>
                <w:i w:val="0"/>
                <w:color w:val="263238"/>
                <w:sz w:val="16"/>
              </w:rPr>
              <w:t xml:space="preserve">                    Base Sepolia + EAS Contracts</w:t>
            </w:r>
            <w:r>
              <w:br/>
            </w:r>
            <w:r>
              <w:rPr>
                <w:rFonts w:ascii="DejaVu Sans Mono" w:hAnsi="DejaVu Sans Mono" w:eastAsia="DejaVu Sans Mono" w:cs="DejaVu Sans Mono"/>
                <w:b w:val="0"/>
                <w:i w:val="0"/>
                <w:color w:val="263238"/>
                <w:sz w:val="16"/>
              </w:rPr>
              <w:t xml:space="preserve">                                │</w:t>
            </w:r>
            <w:r>
              <w:br/>
            </w:r>
            <w:r>
              <w:rPr>
                <w:rFonts w:ascii="DejaVu Sans Mono" w:hAnsi="DejaVu Sans Mono" w:eastAsia="DejaVu Sans Mono" w:cs="DejaVu Sans Mono"/>
                <w:b w:val="0"/>
                <w:i w:val="0"/>
                <w:color w:val="263238"/>
                <w:sz w:val="16"/>
              </w:rPr>
              <w:t xml:space="preserve">                                ▼</w:t>
            </w:r>
            <w:r>
              <w:br/>
            </w:r>
            <w:r>
              <w:rPr>
                <w:rFonts w:ascii="DejaVu Sans Mono" w:hAnsi="DejaVu Sans Mono" w:eastAsia="DejaVu Sans Mono" w:cs="DejaVu Sans Mono"/>
                <w:b w:val="0"/>
                <w:i w:val="0"/>
                <w:color w:val="263238"/>
                <w:sz w:val="16"/>
              </w:rPr>
              <w:t xml:space="preserve">                 Public Verify Page / EAS Explorer</w:t>
            </w:r>
          </w:p>
        </w:tc>
      </w:tr>
    </w:tbl>
    <w:p>
      <w:pPr>
        <w:spacing w:after="20"/>
      </w:pPr>
    </w:p>
    <w:p>
      <w:pPr>
        <w:pStyle w:val="Heading2"/>
      </w:pPr>
      <w:r>
        <w:rPr>
          <w:rFonts w:ascii="Noto Sans CJK SC" w:hAnsi="Noto Sans CJK SC" w:eastAsia="Noto Sans CJK SC" w:cs="Noto Sans CJK SC"/>
          <w:b/>
          <w:i w:val="0"/>
          <w:color w:val="2F5597"/>
          <w:sz w:val="26"/>
        </w:rPr>
        <w:t>8.2 推荐技术栈</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层级</w:t>
            </w:r>
          </w:p>
        </w:tc>
        <w:tc>
          <w:tcPr>
            <w:tcW w:type="dxa" w:w="289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推荐方案</w:t>
            </w:r>
          </w:p>
        </w:tc>
        <w:tc>
          <w:tcPr>
            <w:tcW w:type="dxa" w:w="436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选择理由</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前端</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Next.js + TypeScript</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快速实现三类角色页面、公开验证路由和服务端接口。</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钱包/链交互</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wagmi + viem + EAS SDK</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连接EVM钱包、读取链状态并调用EAS。</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链网络</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Base Sepolia</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测试网费用由测试ETH承担，便于黑客松部署。</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数据库</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PostgreSQL + Prisma</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维护任务状态、链下资料和链上索引。</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对象存储</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S3兼容私有Bucket/MinIO</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保存证据文件并使用短期签名URL控制访问。</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哈希</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Web Crypto / Node crypto</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浏览器与服务端均可执行SHA-256。</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部署</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Vercel/容器平台 + 托管PostgreSQL</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降低演示环境运维复杂度。</w:t>
            </w:r>
          </w:p>
        </w:tc>
      </w:tr>
    </w:tbl>
    <w:p>
      <w:pPr>
        <w:pStyle w:val="Heading2"/>
      </w:pPr>
      <w:r>
        <w:rPr>
          <w:rFonts w:ascii="Noto Sans CJK SC" w:hAnsi="Noto Sans CJK SC" w:eastAsia="Noto Sans CJK SC" w:cs="Noto Sans CJK SC"/>
          <w:b/>
          <w:i w:val="0"/>
          <w:color w:val="2F5597"/>
          <w:sz w:val="26"/>
        </w:rPr>
        <w:t>8.3 核心数据实体</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04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实体</w:t>
            </w:r>
          </w:p>
        </w:tc>
        <w:tc>
          <w:tcPr>
            <w:tcW w:type="dxa" w:w="3402"/>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关键字段</w:t>
            </w:r>
          </w:p>
        </w:tc>
        <w:tc>
          <w:tcPr>
            <w:tcW w:type="dxa" w:w="4082"/>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说明</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User</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walletAddress, roles, displayName</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钱包地址唯一；展示名称链下保存。</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IssuerProfile</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walletAddress, organizationName, verificationStatus</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平台身份标签不写入EAS schema。</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Project</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id, issuerWallet, designerWallet, status, salt, projectRefHash</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保存匿名任务与状态机。</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Submission</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projectId, version, objectKey, evidenceHash, publicSummary</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一个任务可有多个提交版本。</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AttestationRecord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projectId, chainId, schemaUID, attestationUID, txHash, metadataDigest</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链下索引，可由链上数据重建。</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RevocationRecord</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attestationUID, reason, requestedAt, txHash</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公开原因链下存储，链上状态为权威。</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AuditLog</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actorWallet, action, entityId, timestamp</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用于追踪操作，不向HR公开。</w:t>
            </w:r>
          </w:p>
        </w:tc>
      </w:tr>
    </w:tbl>
    <w:p>
      <w:pPr>
        <w:pStyle w:val="Heading2"/>
      </w:pPr>
      <w:r>
        <w:rPr>
          <w:rFonts w:ascii="Noto Sans CJK SC" w:hAnsi="Noto Sans CJK SC" w:eastAsia="Noto Sans CJK SC" w:cs="Noto Sans CJK SC"/>
          <w:b/>
          <w:i w:val="0"/>
          <w:color w:val="2F5597"/>
          <w:sz w:val="26"/>
        </w:rPr>
        <w:t>8.4 核心接口清单</w:t>
      </w:r>
    </w:p>
    <w:tbl>
      <w:tblPr>
        <w:tblW w:type="auto" w:w="0"/>
        <w:jc w:val="center"/>
        <w:tblLayout w:type="fixed"/>
        <w:tblLook w:firstColumn="1" w:firstRow="1" w:lastColumn="0" w:lastRow="0" w:noHBand="0" w:noVBand="1" w:val="04A0"/>
      </w:tblPr>
      <w:tblGrid>
        <w:gridCol w:w="9184"/>
      </w:tblGrid>
      <w:tr>
        <w:trPr>
          <w:cantSplit/>
        </w:trPr>
        <w:tc>
          <w:tcPr>
            <w:tcW w:type="dxa" w:w="9412"/>
            <w:shd w:fill="F7F7F7"/>
            <w:tcBorders>
              <w:top w:val="single" w:sz="4" w:color="D9E1E8"/>
              <w:left w:val="single" w:sz="4" w:color="D9E1E8"/>
              <w:bottom w:val="single" w:sz="4" w:color="D9E1E8"/>
              <w:right w:val="single" w:sz="4" w:color="D9E1E8"/>
            </w:tcBorders>
            <w:tcMar>
              <w:top w:w="120" w:type="dxa"/>
              <w:start w:w="160" w:type="dxa"/>
              <w:bottom w:w="120" w:type="dxa"/>
              <w:end w:w="160" w:type="dxa"/>
            </w:tcMar>
          </w:tcPr>
          <w:p>
            <w:pPr>
              <w:pStyle w:val="CodeBlock"/>
              <w:widowControl/>
              <w:spacing w:after="0"/>
            </w:pPr>
            <w:r>
              <w:rPr>
                <w:rFonts w:ascii="DejaVu Sans Mono" w:hAnsi="DejaVu Sans Mono" w:eastAsia="DejaVu Sans Mono" w:cs="DejaVu Sans Mono"/>
                <w:b w:val="0"/>
                <w:i w:val="0"/>
                <w:color w:val="263238"/>
                <w:sz w:val="16"/>
              </w:rPr>
              <w:t>POST   /api/auth/nonce</w:t>
            </w:r>
            <w:r>
              <w:br/>
            </w:r>
            <w:r>
              <w:rPr>
                <w:rFonts w:ascii="DejaVu Sans Mono" w:hAnsi="DejaVu Sans Mono" w:eastAsia="DejaVu Sans Mono" w:cs="DejaVu Sans Mono"/>
                <w:b w:val="0"/>
                <w:i w:val="0"/>
                <w:color w:val="263238"/>
                <w:sz w:val="16"/>
              </w:rPr>
              <w:t>POST   /api/auth/verify</w:t>
            </w:r>
            <w:r>
              <w:br/>
            </w:r>
            <w:r>
              <w:rPr>
                <w:rFonts w:ascii="DejaVu Sans Mono" w:hAnsi="DejaVu Sans Mono" w:eastAsia="DejaVu Sans Mono" w:cs="DejaVu Sans Mono"/>
                <w:b w:val="0"/>
                <w:i w:val="0"/>
                <w:color w:val="263238"/>
                <w:sz w:val="16"/>
              </w:rPr>
              <w:t>POST   /api/projects</w:t>
            </w:r>
            <w:r>
              <w:br/>
            </w:r>
            <w:r>
              <w:rPr>
                <w:rFonts w:ascii="DejaVu Sans Mono" w:hAnsi="DejaVu Sans Mono" w:eastAsia="DejaVu Sans Mono" w:cs="DejaVu Sans Mono"/>
                <w:b w:val="0"/>
                <w:i w:val="0"/>
                <w:color w:val="263238"/>
                <w:sz w:val="16"/>
              </w:rPr>
              <w:t>POST   /api/projects/{id}/invite</w:t>
            </w:r>
            <w:r>
              <w:br/>
            </w:r>
            <w:r>
              <w:rPr>
                <w:rFonts w:ascii="DejaVu Sans Mono" w:hAnsi="DejaVu Sans Mono" w:eastAsia="DejaVu Sans Mono" w:cs="DejaVu Sans Mono"/>
                <w:b w:val="0"/>
                <w:i w:val="0"/>
                <w:color w:val="263238"/>
                <w:sz w:val="16"/>
              </w:rPr>
              <w:t>POST   /api/projects/{id}/accept</w:t>
            </w:r>
            <w:r>
              <w:br/>
            </w:r>
            <w:r>
              <w:rPr>
                <w:rFonts w:ascii="DejaVu Sans Mono" w:hAnsi="DejaVu Sans Mono" w:eastAsia="DejaVu Sans Mono" w:cs="DejaVu Sans Mono"/>
                <w:b w:val="0"/>
                <w:i w:val="0"/>
                <w:color w:val="263238"/>
                <w:sz w:val="16"/>
              </w:rPr>
              <w:t>POST   /api/projects/{id}/submissions</w:t>
            </w:r>
            <w:r>
              <w:br/>
            </w:r>
            <w:r>
              <w:rPr>
                <w:rFonts w:ascii="DejaVu Sans Mono" w:hAnsi="DejaVu Sans Mono" w:eastAsia="DejaVu Sans Mono" w:cs="DejaVu Sans Mono"/>
                <w:b w:val="0"/>
                <w:i w:val="0"/>
                <w:color w:val="263238"/>
                <w:sz w:val="16"/>
              </w:rPr>
              <w:t>POST   /api/projects/{id}/approve</w:t>
            </w:r>
            <w:r>
              <w:br/>
            </w:r>
            <w:r>
              <w:rPr>
                <w:rFonts w:ascii="DejaVu Sans Mono" w:hAnsi="DejaVu Sans Mono" w:eastAsia="DejaVu Sans Mono" w:cs="DejaVu Sans Mono"/>
                <w:b w:val="0"/>
                <w:i w:val="0"/>
                <w:color w:val="263238"/>
                <w:sz w:val="16"/>
              </w:rPr>
              <w:t>POST   /api/projects/{id}/prepare-attestation</w:t>
            </w:r>
            <w:r>
              <w:br/>
            </w:r>
            <w:r>
              <w:rPr>
                <w:rFonts w:ascii="DejaVu Sans Mono" w:hAnsi="DejaVu Sans Mono" w:eastAsia="DejaVu Sans Mono" w:cs="DejaVu Sans Mono"/>
                <w:b w:val="0"/>
                <w:i w:val="0"/>
                <w:color w:val="263238"/>
                <w:sz w:val="16"/>
              </w:rPr>
              <w:t>POST   /api/projects/{id}/confirm-attestation</w:t>
            </w:r>
            <w:r>
              <w:br/>
            </w:r>
            <w:r>
              <w:rPr>
                <w:rFonts w:ascii="DejaVu Sans Mono" w:hAnsi="DejaVu Sans Mono" w:eastAsia="DejaVu Sans Mono" w:cs="DejaVu Sans Mono"/>
                <w:b w:val="0"/>
                <w:i w:val="0"/>
                <w:color w:val="263238"/>
                <w:sz w:val="16"/>
              </w:rPr>
              <w:t>GET    /api/credentials?recipient=0x...</w:t>
            </w:r>
            <w:r>
              <w:br/>
            </w:r>
            <w:r>
              <w:rPr>
                <w:rFonts w:ascii="DejaVu Sans Mono" w:hAnsi="DejaVu Sans Mono" w:eastAsia="DejaVu Sans Mono" w:cs="DejaVu Sans Mono"/>
                <w:b w:val="0"/>
                <w:i w:val="0"/>
                <w:color w:val="263238"/>
                <w:sz w:val="16"/>
              </w:rPr>
              <w:t>GET    /api/verify/{attestationUID}</w:t>
            </w:r>
            <w:r>
              <w:br/>
            </w:r>
            <w:r>
              <w:rPr>
                <w:rFonts w:ascii="DejaVu Sans Mono" w:hAnsi="DejaVu Sans Mono" w:eastAsia="DejaVu Sans Mono" w:cs="DejaVu Sans Mono"/>
                <w:b w:val="0"/>
                <w:i w:val="0"/>
                <w:color w:val="263238"/>
                <w:sz w:val="16"/>
              </w:rPr>
              <w:t>POST   /api/credentials/{uid}/prepare-revoke</w:t>
            </w:r>
            <w:r>
              <w:br/>
            </w:r>
            <w:r>
              <w:rPr>
                <w:rFonts w:ascii="DejaVu Sans Mono" w:hAnsi="DejaVu Sans Mono" w:eastAsia="DejaVu Sans Mono" w:cs="DejaVu Sans Mono"/>
                <w:b w:val="0"/>
                <w:i w:val="0"/>
                <w:color w:val="263238"/>
                <w:sz w:val="16"/>
              </w:rPr>
              <w:t>POST   /api/credentials/{uid}/confirm-revoke</w:t>
            </w:r>
          </w:p>
        </w:tc>
      </w:tr>
    </w:tbl>
    <w:p>
      <w:pPr>
        <w:spacing w:after="20"/>
      </w:pPr>
    </w:p>
    <w:p>
      <w:pPr>
        <w:keepNext w:val="0"/>
        <w:keepLines w:val="0"/>
        <w:spacing w:before="0" w:after="120" w:line="365" w:lineRule="auto"/>
      </w:pPr>
      <w:r>
        <w:rPr>
          <w:rFonts w:ascii="Noto Sans CJK SC" w:hAnsi="Noto Sans CJK SC" w:eastAsia="Noto Sans CJK SC" w:cs="Noto Sans CJK SC"/>
          <w:b w:val="0"/>
          <w:i w:val="0"/>
          <w:color w:val="263238"/>
          <w:sz w:val="20"/>
        </w:rPr>
        <w:t>prepare-attestation接口只生成待签名/待交易的数据并执行业务校验，不能代替签发方签名。confirm-attestation在交易完成后校验链上receipt和attestation内容，再更新任务状态。验证接口必须以链上状态为权威，不得只读取数据库中的issued或revoked字段。</w:t>
      </w:r>
    </w:p>
    <w:p>
      <w:pPr>
        <w:pStyle w:val="Heading1"/>
      </w:pPr>
      <w:r>
        <w:rPr>
          <w:rFonts w:ascii="Noto Sans CJK SC" w:hAnsi="Noto Sans CJK SC" w:eastAsia="Noto Sans CJK SC" w:cs="Noto Sans CJK SC"/>
          <w:b/>
          <w:i w:val="0"/>
          <w:color w:val="17365D"/>
          <w:sz w:val="34"/>
        </w:rPr>
        <w:t>九、安全、隐私与非功能需求</w:t>
      </w:r>
    </w:p>
    <w:p>
      <w:pPr>
        <w:pStyle w:val="Heading2"/>
      </w:pPr>
      <w:r>
        <w:rPr>
          <w:rFonts w:ascii="Noto Sans CJK SC" w:hAnsi="Noto Sans CJK SC" w:eastAsia="Noto Sans CJK SC" w:cs="Noto Sans CJK SC"/>
          <w:b/>
          <w:i w:val="0"/>
          <w:color w:val="2F5597"/>
          <w:sz w:val="26"/>
        </w:rPr>
        <w:t>9.1 安全要求</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钱包登录使用一次性nonce并设置有效期，防止签名重放。</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所有改变任务状态的接口必须校验当前钱包、角色、任务关系和允许的状态迁移。</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上传文件检查类型和大小，不信任文件扩展名；私有Bucket禁止公开列表。</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服务端不得保管用户私钥、助记词或要求用户发送私钥。</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链上交易参数在签名前以可读形式展示，防止签发错误对象或敏感信息。</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管理员白名单操作必须写入审计日志。</w:t>
      </w:r>
    </w:p>
    <w:p>
      <w:pPr>
        <w:pStyle w:val="Heading2"/>
      </w:pPr>
      <w:r>
        <w:rPr>
          <w:rFonts w:ascii="Noto Sans CJK SC" w:hAnsi="Noto Sans CJK SC" w:eastAsia="Noto Sans CJK SC" w:cs="Noto Sans CJK SC"/>
          <w:b/>
          <w:i w:val="0"/>
          <w:color w:val="2F5597"/>
          <w:sz w:val="26"/>
        </w:rPr>
        <w:t>9.2 隐私要求</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公开字段采用最小化原则；默认保密级别为“匿名行业/项目类别”。</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链下证据文件只允许任务双方在授权场景访问，公开验证页无下载权限。</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用户删除链下账户时可以删除非必要个人资料，但应明确链上记录无法删除。</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对公开摘要进行敏感信息提示和人工二次确认，不依赖自动过滤完全阻止泄露。</w:t>
      </w:r>
    </w:p>
    <w:p>
      <w:pPr>
        <w:pStyle w:val="Heading2"/>
      </w:pPr>
      <w:r>
        <w:rPr>
          <w:rFonts w:ascii="Noto Sans CJK SC" w:hAnsi="Noto Sans CJK SC" w:eastAsia="Noto Sans CJK SC" w:cs="Noto Sans CJK SC"/>
          <w:b/>
          <w:i w:val="0"/>
          <w:color w:val="2F5597"/>
          <w:sz w:val="26"/>
        </w:rPr>
        <w:t>9.3 性能与可用性</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55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指标</w:t>
            </w:r>
          </w:p>
        </w:tc>
        <w:tc>
          <w:tcPr>
            <w:tcW w:type="dxa" w:w="283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MVP目标</w:t>
            </w:r>
          </w:p>
        </w:tc>
        <w:tc>
          <w:tcPr>
            <w:tcW w:type="dxa" w:w="4082"/>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说明</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普通页面响应</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P95低于2秒（不含文件上传和链上确认）</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链上读取可使用缓存，但需展示最近查询时间。</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链上状态</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交易确认后自动刷新，也支持手动重试</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不承诺固定出块时间。</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验证页降级</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索引服务失败时直接RPC读取；全部失败则明确报错</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不能把旧数据库状态伪装为实时核验。</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浏览器适配</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桌面Chrome/Edge和移动端Safari基本可用</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钱包签发主要面向桌面浏览器。</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可访问性</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状态同时使用文字和图标，表单标签完整</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HR验证页不只依赖颜色表达有效性。</w:t>
            </w:r>
          </w:p>
        </w:tc>
      </w:tr>
    </w:tbl>
    <w:p>
      <w:pPr>
        <w:pStyle w:val="Heading1"/>
      </w:pPr>
      <w:r>
        <w:rPr>
          <w:rFonts w:ascii="Noto Sans CJK SC" w:hAnsi="Noto Sans CJK SC" w:eastAsia="Noto Sans CJK SC" w:cs="Noto Sans CJK SC"/>
          <w:b/>
          <w:i w:val="0"/>
          <w:color w:val="17365D"/>
          <w:sz w:val="34"/>
        </w:rPr>
        <w:t>十、数据指标与验证计划</w:t>
      </w:r>
    </w:p>
    <w:p>
      <w:pPr>
        <w:pStyle w:val="Heading2"/>
      </w:pPr>
      <w:r>
        <w:rPr>
          <w:rFonts w:ascii="Noto Sans CJK SC" w:hAnsi="Noto Sans CJK SC" w:eastAsia="Noto Sans CJK SC" w:cs="Noto Sans CJK SC"/>
          <w:b/>
          <w:i w:val="0"/>
          <w:color w:val="2F5597"/>
          <w:sz w:val="26"/>
        </w:rPr>
        <w:t>10.1 MVP核心事件</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83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事件</w:t>
            </w:r>
          </w:p>
        </w:tc>
        <w:tc>
          <w:tcPr>
            <w:tcW w:type="dxa" w:w="345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关键属性</w:t>
            </w:r>
          </w:p>
        </w:tc>
        <w:tc>
          <w:tcPr>
            <w:tcW w:type="dxa" w:w="317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用途</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wallet_login_success</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role, walletType</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判断登录摩擦。</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project_created</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issuer, confidentialityLevel</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判断创建是否顺畅。</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invitation_accepted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projectId, elapsed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判断设计师接受率。</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submission_created</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version, fileType, fileSize</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观察证据提交方式。</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project_approved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issuer, revisionCount</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观察验收过程。</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attestation_tx_started</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chainId</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链上转化漏斗。</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attestation_issued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attestationUID, txConfirmationElapsed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判断签发成功率。</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verification_page_viewed</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source, credentialStatus</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判断凭证是否被真实使用。</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credential_revoked</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val="0"/>
                <w:i w:val="0"/>
                <w:color w:val="263238"/>
                <w:sz w:val="16"/>
              </w:rPr>
              <w:t>reasonCategory</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判断错误与滥用。</w:t>
            </w:r>
          </w:p>
        </w:tc>
      </w:tr>
    </w:tbl>
    <w:p>
      <w:pPr>
        <w:pStyle w:val="Heading2"/>
      </w:pPr>
      <w:r>
        <w:rPr>
          <w:rFonts w:ascii="Noto Sans CJK SC" w:hAnsi="Noto Sans CJK SC" w:eastAsia="Noto Sans CJK SC" w:cs="Noto Sans CJK SC"/>
          <w:b/>
          <w:i w:val="0"/>
          <w:color w:val="2F5597"/>
          <w:sz w:val="26"/>
        </w:rPr>
        <w:t>10.2 关键产品指标</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任务闭环率：进入ACCEPTED的任务中，最终成功签发凭证的比例。</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链上签发成功率：发起交易后成功获得attestationUID的比例。</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平均签发步骤数：从验收通过到交易发出的用户操作次数。</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验证使用率：已签发凭证中，至少被非持有人打开一次验证页的比例。</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敏感信息事故数：公开摘要中出现客户、联系方式或价格并需要撤销的次数。</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用户理解度：HR能否正确回答“谁作出声明、链上验证了什么、没有验证什么”。</w:t>
      </w:r>
    </w:p>
    <w:p>
      <w:pPr>
        <w:pStyle w:val="Heading1"/>
      </w:pPr>
      <w:r>
        <w:rPr>
          <w:rFonts w:ascii="Noto Sans CJK SC" w:hAnsi="Noto Sans CJK SC" w:eastAsia="Noto Sans CJK SC" w:cs="Noto Sans CJK SC"/>
          <w:b/>
          <w:i w:val="0"/>
          <w:color w:val="17365D"/>
          <w:sz w:val="34"/>
        </w:rPr>
        <w:t>十一、MVP验收标准</w:t>
      </w:r>
    </w:p>
    <w:p>
      <w:pPr>
        <w:pStyle w:val="Heading2"/>
      </w:pPr>
      <w:r>
        <w:rPr>
          <w:rFonts w:ascii="Noto Sans CJK SC" w:hAnsi="Noto Sans CJK SC" w:eastAsia="Noto Sans CJK SC" w:cs="Noto Sans CJK SC"/>
          <w:b/>
          <w:i w:val="0"/>
          <w:color w:val="2F5597"/>
          <w:sz w:val="26"/>
        </w:rPr>
        <w:t>11.1 主路径验收</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1247"/>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编号</w:t>
            </w:r>
          </w:p>
        </w:tc>
        <w:tc>
          <w:tcPr>
            <w:tcW w:type="dxa" w:w="8277"/>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验收条件</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AC-01</w:t>
            </w:r>
          </w:p>
        </w:tc>
        <w:tc>
          <w:tcPr>
            <w:tcW w:type="dxa" w:w="470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签发方连接钱包并创建匿名任务，系统生成projectRefHash。</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AC-02</w:t>
            </w:r>
          </w:p>
        </w:tc>
        <w:tc>
          <w:tcPr>
            <w:tcW w:type="dxa" w:w="4706"/>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设计师使用被邀请钱包接受任务并提交文件；系统展示SHA-256。</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AC-03</w:t>
            </w:r>
          </w:p>
        </w:tc>
        <w:tc>
          <w:tcPr>
            <w:tcW w:type="dxa" w:w="470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签发方验收后能预览全部上链字段，并通过钱包在Base Sepolia发起交易。</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AC-04</w:t>
            </w:r>
          </w:p>
        </w:tc>
        <w:tc>
          <w:tcPr>
            <w:tcW w:type="dxa" w:w="4706"/>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交易确认后平台获得attestationUID，设计师个人页立即出现凭证。</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AC-05</w:t>
            </w:r>
          </w:p>
        </w:tc>
        <w:tc>
          <w:tcPr>
            <w:tcW w:type="dxa" w:w="470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第三方在无登录、无钱包情况下通过公开链接看到有效凭证。</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AC-06</w:t>
            </w:r>
          </w:p>
        </w:tc>
        <w:tc>
          <w:tcPr>
            <w:tcW w:type="dxa" w:w="4706"/>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验证页显示的attester、recipient、字段和revocation状态与链上完全一致。</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AC-07</w:t>
            </w:r>
          </w:p>
        </w:tc>
        <w:tc>
          <w:tcPr>
            <w:tcW w:type="dxa" w:w="4706"/>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签发方撤销凭证后，验证页显示已撤销，且历史内容仍可查看。</w:t>
            </w:r>
          </w:p>
        </w:tc>
      </w:tr>
      <w:tr>
        <w:trPr>
          <w:cantSplit/>
        </w:trPr>
        <w:tc>
          <w:tcPr>
            <w:tcW w:type="dxa" w:w="4706"/>
            <w:vAlign w:val="center"/>
            <w:shd w:fill="E2F0D9"/>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548235"/>
                <w:sz w:val="17"/>
              </w:rPr>
              <w:t>AC-08</w:t>
            </w:r>
          </w:p>
        </w:tc>
        <w:tc>
          <w:tcPr>
            <w:tcW w:type="dxa" w:w="4706"/>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整个流程中客户名、报价和源文件均未写入链上。</w:t>
            </w:r>
          </w:p>
        </w:tc>
      </w:tr>
    </w:tbl>
    <w:p>
      <w:pPr>
        <w:pStyle w:val="Heading2"/>
      </w:pPr>
      <w:r>
        <w:rPr>
          <w:rFonts w:ascii="Noto Sans CJK SC" w:hAnsi="Noto Sans CJK SC" w:eastAsia="Noto Sans CJK SC" w:cs="Noto Sans CJK SC"/>
          <w:b/>
          <w:i w:val="0"/>
          <w:color w:val="2F5597"/>
          <w:sz w:val="26"/>
        </w:rPr>
        <w:t>11.2 必须演示的异常路径</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设计师未接受任务时，签发方不能直接生成凭证。</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用户拒绝钱包交易后，任务仍可重新签发且不会错误显示成功。</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钱包不在Base Sepolia时，系统提示切换网络。</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验证一个不存在的attestationUID时显示“未找到”，而不是空白页面。</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凭证撤销后，旧分享链接自动显示已撤销。</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平台链下JSON被篡改时，metadataDigest校验失败并显示风险提示。</w:t>
      </w:r>
    </w:p>
    <w:p>
      <w:pPr>
        <w:pStyle w:val="Heading1"/>
      </w:pPr>
      <w:r>
        <w:rPr>
          <w:rFonts w:ascii="Noto Sans CJK SC" w:hAnsi="Noto Sans CJK SC" w:eastAsia="Noto Sans CJK SC" w:cs="Noto Sans CJK SC"/>
          <w:b/>
          <w:i w:val="0"/>
          <w:color w:val="17365D"/>
          <w:sz w:val="34"/>
        </w:rPr>
        <w:t>十二、黑客松演示脚本</w:t>
      </w:r>
    </w:p>
    <w:p>
      <w:pPr>
        <w:pStyle w:val="Heading2"/>
      </w:pPr>
      <w:r>
        <w:rPr>
          <w:rFonts w:ascii="Noto Sans CJK SC" w:hAnsi="Noto Sans CJK SC" w:eastAsia="Noto Sans CJK SC" w:cs="Noto Sans CJK SC"/>
          <w:b/>
          <w:i w:val="0"/>
          <w:color w:val="2F5597"/>
          <w:sz w:val="26"/>
        </w:rPr>
        <w:t>12.1 演示角色</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钱包A：认证演示工作室，作为签发方。</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钱包B：自由设计师，作为凭证接收者。</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无钱包访客：模拟HR。</w:t>
      </w:r>
    </w:p>
    <w:p>
      <w:pPr>
        <w:pStyle w:val="Heading2"/>
      </w:pPr>
      <w:r>
        <w:rPr>
          <w:rFonts w:ascii="Noto Sans CJK SC" w:hAnsi="Noto Sans CJK SC" w:eastAsia="Noto Sans CJK SC" w:cs="Noto Sans CJK SC"/>
          <w:b/>
          <w:i w:val="0"/>
          <w:color w:val="2F5597"/>
          <w:sz w:val="26"/>
        </w:rPr>
        <w:t>12.2 建议演示顺序</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850"/>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序号</w:t>
            </w:r>
          </w:p>
        </w:tc>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环节</w:t>
            </w:r>
          </w:p>
        </w:tc>
        <w:tc>
          <w:tcPr>
            <w:tcW w:type="dxa" w:w="6350"/>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演示重点</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01</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场景导入</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展示一张传统外包链条图，说明实际设计师只有聊天截图，HR无法低成本核验。</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02</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创建任务</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工作室创建“电商视觉设计”匿名任务，不填写客户名和报价，邀请钱包B。</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03</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提交证据</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钱包B接受任务，上传示例PDF，页面实时生成文件哈希并填写贡献摘要。</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04</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验收签发</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钱包A确认完成，预览公开字段，通过钱包签发EAS凭证。</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05</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设计师获得履历</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切换钱包B，凭证出现在个人页，复制公开链接或展示二维码。</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06</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HR验证</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用无钱包浏览器打开链接，看到签发者、接收者、项目声明、交易和有效状态。</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07</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证明撤销能力</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钱包A撤销凭证，刷新HR页面，状态立即变为“已撤销”。</w:t>
            </w:r>
          </w:p>
        </w:tc>
      </w:tr>
      <w:tr>
        <w:trPr>
          <w:cantSplit/>
        </w:trPr>
        <w:tc>
          <w:tcPr>
            <w:tcW w:type="dxa" w:w="3137"/>
            <w:vAlign w:val="center"/>
            <w:shd w:fill="E8F3F4"/>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1F7A8C"/>
                <w:sz w:val="17"/>
              </w:rPr>
              <w:t>08</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7"/>
              </w:rPr>
              <w:t>总结边界</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7"/>
              </w:rPr>
              <w:t>强调链上证明的是签名声明和状态，不公开设计稿，也不自动证明设计水平。</w:t>
            </w:r>
          </w:p>
        </w:tc>
      </w:tr>
    </w:tbl>
    <w:p>
      <w:pPr>
        <w:pStyle w:val="Heading1"/>
      </w:pPr>
      <w:r>
        <w:rPr>
          <w:rFonts w:ascii="Noto Sans CJK SC" w:hAnsi="Noto Sans CJK SC" w:eastAsia="Noto Sans CJK SC" w:cs="Noto Sans CJK SC"/>
          <w:b/>
          <w:i w:val="0"/>
          <w:color w:val="17365D"/>
          <w:sz w:val="34"/>
        </w:rPr>
        <w:t>十三、迭代顺序</w:t>
      </w:r>
    </w:p>
    <w:p>
      <w:pPr>
        <w:pStyle w:val="Heading2"/>
      </w:pPr>
      <w:r>
        <w:rPr>
          <w:rFonts w:ascii="Noto Sans CJK SC" w:hAnsi="Noto Sans CJK SC" w:eastAsia="Noto Sans CJK SC" w:cs="Noto Sans CJK SC"/>
          <w:b/>
          <w:i w:val="0"/>
          <w:color w:val="2F5597"/>
          <w:sz w:val="26"/>
        </w:rPr>
        <w:t>13.1 首个可运行闭环</w:t>
      </w:r>
    </w:p>
    <w:p>
      <w:pPr>
        <w:pStyle w:val="ListNumber"/>
        <w:keepNext w:val="0"/>
        <w:keepLines w:val="0"/>
        <w:spacing w:before="0" w:after="80" w:line="331" w:lineRule="auto"/>
      </w:pPr>
      <w:r>
        <w:rPr>
          <w:rFonts w:ascii="Noto Sans CJK SC" w:hAnsi="Noto Sans CJK SC" w:eastAsia="Noto Sans CJK SC" w:cs="Noto Sans CJK SC"/>
          <w:b w:val="0"/>
          <w:i w:val="0"/>
          <w:color w:val="263238"/>
          <w:sz w:val="20"/>
        </w:rPr>
        <w:t>固定两个演示钱包和一个已注册EAS schema。</w:t>
      </w:r>
    </w:p>
    <w:p>
      <w:pPr>
        <w:pStyle w:val="ListNumber"/>
        <w:keepNext w:val="0"/>
        <w:keepLines w:val="0"/>
        <w:spacing w:before="0" w:after="80" w:line="331" w:lineRule="auto"/>
      </w:pPr>
      <w:r>
        <w:rPr>
          <w:rFonts w:ascii="Noto Sans CJK SC" w:hAnsi="Noto Sans CJK SC" w:eastAsia="Noto Sans CJK SC" w:cs="Noto Sans CJK SC"/>
          <w:b w:val="0"/>
          <w:i w:val="0"/>
          <w:color w:val="263238"/>
          <w:sz w:val="20"/>
        </w:rPr>
        <w:t>完成任务创建、接受、单版本文件提交、验收。</w:t>
      </w:r>
    </w:p>
    <w:p>
      <w:pPr>
        <w:pStyle w:val="ListNumber"/>
        <w:keepNext w:val="0"/>
        <w:keepLines w:val="0"/>
        <w:spacing w:before="0" w:after="80" w:line="331" w:lineRule="auto"/>
      </w:pPr>
      <w:r>
        <w:rPr>
          <w:rFonts w:ascii="Noto Sans CJK SC" w:hAnsi="Noto Sans CJK SC" w:eastAsia="Noto Sans CJK SC" w:cs="Noto Sans CJK SC"/>
          <w:b w:val="0"/>
          <w:i w:val="0"/>
          <w:color w:val="263238"/>
          <w:sz w:val="20"/>
        </w:rPr>
        <w:t>完成链上签发、凭证详情和公开验证页。</w:t>
      </w:r>
    </w:p>
    <w:p>
      <w:pPr>
        <w:pStyle w:val="ListNumber"/>
        <w:keepNext w:val="0"/>
        <w:keepLines w:val="0"/>
        <w:spacing w:before="0" w:after="80" w:line="331" w:lineRule="auto"/>
      </w:pPr>
      <w:r>
        <w:rPr>
          <w:rFonts w:ascii="Noto Sans CJK SC" w:hAnsi="Noto Sans CJK SC" w:eastAsia="Noto Sans CJK SC" w:cs="Noto Sans CJK SC"/>
          <w:b w:val="0"/>
          <w:i w:val="0"/>
          <w:color w:val="263238"/>
          <w:sz w:val="20"/>
        </w:rPr>
        <w:t>完成撤销及撤销状态展示。</w:t>
      </w:r>
    </w:p>
    <w:p>
      <w:pPr>
        <w:pStyle w:val="Heading2"/>
      </w:pPr>
      <w:r>
        <w:rPr>
          <w:rFonts w:ascii="Noto Sans CJK SC" w:hAnsi="Noto Sans CJK SC" w:eastAsia="Noto Sans CJK SC" w:cs="Noto Sans CJK SC"/>
          <w:b/>
          <w:i w:val="0"/>
          <w:color w:val="2F5597"/>
          <w:sz w:val="26"/>
        </w:rPr>
        <w:t>13.2 可用性增强</w:t>
      </w:r>
    </w:p>
    <w:p>
      <w:pPr>
        <w:keepNext w:val="0"/>
        <w:keepLines w:val="0"/>
        <w:spacing w:before="0" w:after="60" w:line="365" w:lineRule="auto"/>
      </w:pPr>
      <w:r>
        <w:rPr>
          <w:rFonts w:ascii="Noto Sans CJK SC" w:hAnsi="Noto Sans CJK SC" w:eastAsia="Noto Sans CJK SC" w:cs="Noto Sans CJK SC"/>
          <w:b w:val="0"/>
          <w:i w:val="0"/>
          <w:color w:val="263238"/>
          <w:sz w:val="20"/>
        </w:rPr>
        <w:t>1. 支持多版本提交、签发方认证标签和二维码。</w:t>
      </w:r>
    </w:p>
    <w:p>
      <w:pPr>
        <w:keepNext w:val="0"/>
        <w:keepLines w:val="0"/>
        <w:spacing w:before="0" w:after="60" w:line="365" w:lineRule="auto"/>
      </w:pPr>
      <w:r>
        <w:rPr>
          <w:rFonts w:ascii="Noto Sans CJK SC" w:hAnsi="Noto Sans CJK SC" w:eastAsia="Noto Sans CJK SC" w:cs="Noto Sans CJK SC"/>
          <w:b w:val="0"/>
          <w:i w:val="0"/>
          <w:color w:val="263238"/>
          <w:sz w:val="20"/>
        </w:rPr>
        <w:t>2. 增加本地文件哈希复核、链上读取降级和操作日志。</w:t>
      </w:r>
    </w:p>
    <w:p>
      <w:pPr>
        <w:keepNext w:val="0"/>
        <w:keepLines w:val="0"/>
        <w:spacing w:before="0" w:after="60" w:line="365" w:lineRule="auto"/>
      </w:pPr>
      <w:r>
        <w:rPr>
          <w:rFonts w:ascii="Noto Sans CJK SC" w:hAnsi="Noto Sans CJK SC" w:eastAsia="Noto Sans CJK SC" w:cs="Noto Sans CJK SC"/>
          <w:b w:val="0"/>
          <w:i w:val="0"/>
          <w:color w:val="263238"/>
          <w:sz w:val="20"/>
        </w:rPr>
        <w:t>3. 增加敏感信息提示、异常提示和移动端适配。</w:t>
      </w:r>
    </w:p>
    <w:p>
      <w:pPr>
        <w:pStyle w:val="Heading2"/>
      </w:pPr>
      <w:r>
        <w:rPr>
          <w:rFonts w:ascii="Noto Sans CJK SC" w:hAnsi="Noto Sans CJK SC" w:eastAsia="Noto Sans CJK SC" w:cs="Noto Sans CJK SC"/>
          <w:b/>
          <w:i w:val="0"/>
          <w:color w:val="2F5597"/>
          <w:sz w:val="26"/>
        </w:rPr>
        <w:t>13.3 后续产品扩展</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多层外包节点使用refUID追加证明，形成贡献链而不是单点声明。</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引入企业实名认证、签发方信誉和异常签发处罚。</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把EAS记录导出为W3C VC格式并支持选择性披露。</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接入Figma、飞书、网盘或项目管理工具，自动生成过程证据。</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扩展到视频剪辑、文案、软件外包、翻译和数据标注。</w:t>
      </w:r>
    </w:p>
    <w:p>
      <w:pPr>
        <w:pStyle w:val="Heading1"/>
      </w:pPr>
      <w:r>
        <w:rPr>
          <w:rFonts w:ascii="Noto Sans CJK SC" w:hAnsi="Noto Sans CJK SC" w:eastAsia="Noto Sans CJK SC" w:cs="Noto Sans CJK SC"/>
          <w:b/>
          <w:i w:val="0"/>
          <w:color w:val="17365D"/>
          <w:sz w:val="34"/>
        </w:rPr>
        <w:t>十四、关键风险与应对</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2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风险</w:t>
            </w:r>
          </w:p>
        </w:tc>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可能后果</w:t>
            </w:r>
          </w:p>
        </w:tc>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MVP应对</w:t>
            </w:r>
          </w:p>
        </w:tc>
        <w:tc>
          <w:tcPr>
            <w:tcW w:type="dxa" w:w="2665"/>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仍未解决部分</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签发方与设计师合谋造假</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制造虚假经历</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展示签发方身份状态、证据等级和公开风险提示</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需要后续企业认证、信誉和抽查机制</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上游拒绝签发</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设计师仍无法获得凭证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把签发嵌入验收流程，并给上游提供任务记录价值</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商业激励仍需真实用户访谈验证</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公开字段泄密</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客户投诉或商业损失</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最小字段、默认匿名、上链前预览和二次确认</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链上错误内容只能撤销，不能删除</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钱包使用门槛高</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非Web3用户流失</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HR端无需钱包；演示提供清晰网络切换引导</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生产环境需嵌入式钱包或账户抽象</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把链上误解为绝对真实</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HR过度信任</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验证页明确区分签名有效和内容真实性</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仍需长期建立签发方信任网络</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测试网不稳定或无测试币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演示交易失败</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预存测试ETH、准备备用RPC和已签发示例</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无法消除外部网络故障</w:t>
            </w:r>
          </w:p>
        </w:tc>
      </w:tr>
    </w:tbl>
    <w:p>
      <w:pPr>
        <w:pStyle w:val="Heading1"/>
      </w:pPr>
      <w:r>
        <w:rPr>
          <w:rFonts w:ascii="Noto Sans CJK SC" w:hAnsi="Noto Sans CJK SC" w:eastAsia="Noto Sans CJK SC" w:cs="Noto Sans CJK SC"/>
          <w:b/>
          <w:i w:val="0"/>
          <w:color w:val="17365D"/>
          <w:sz w:val="34"/>
        </w:rPr>
        <w:t>十五、产品结论</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本MVP的价值不在于把设计订单、支付和文件全部搬上区块链，而在于准确选择一个需要跨组织验证的最小事实：某个上游责任方确认某位设计师在某段时间完成了某类工作。这个声明由签发方钱包签名、由EAS记录生命周期、由公开验证页解释给HR，并通过最小字段和链下证据保护商业隐私。</w:t>
      </w:r>
    </w:p>
    <w:p>
      <w:pPr>
        <w:keepNext w:val="0"/>
        <w:keepLines w:val="0"/>
        <w:spacing w:before="0" w:after="120" w:line="365" w:lineRule="auto"/>
        <w:ind w:firstLine="408"/>
      </w:pPr>
      <w:r>
        <w:rPr>
          <w:rFonts w:ascii="Noto Sans CJK SC" w:hAnsi="Noto Sans CJK SC" w:eastAsia="Noto Sans CJK SC" w:cs="Noto Sans CJK SC"/>
          <w:b w:val="0"/>
          <w:i w:val="0"/>
          <w:color w:val="263238"/>
          <w:sz w:val="20"/>
        </w:rPr>
        <w:t>当这个闭环成立后，项目才有资格继续讨论多层贡献链、企业认证、招聘验证服务和跨行业扩展；如果上游不愿签、设计师不用、HR看不懂，则增加智能合约、Token或更复杂的链上机制都不会解决产品问题。</w:t>
      </w:r>
    </w:p>
    <w:tbl>
      <w:tblPr>
        <w:tblW w:type="auto" w:w="0"/>
        <w:jc w:val="center"/>
        <w:tblLayout w:type="fixed"/>
        <w:tblLook w:firstColumn="1" w:firstRow="1" w:lastColumn="0" w:lastRow="0" w:noHBand="0" w:noVBand="1" w:val="04A0"/>
      </w:tblPr>
      <w:tblGrid>
        <w:gridCol w:w="9298"/>
      </w:tblGrid>
      <w:tr>
        <w:trPr>
          <w:cantSplit/>
        </w:trPr>
        <w:tc>
          <w:tcPr>
            <w:tcW w:type="dxa" w:w="9412"/>
            <w:shd w:fill="E2F0D9"/>
            <w:tcBorders>
              <w:top w:val="single" w:sz="8" w:color="548235"/>
              <w:left w:val="single" w:sz="8" w:color="548235"/>
              <w:bottom w:val="single" w:sz="8" w:color="548235"/>
              <w:right w:val="single" w:sz="8" w:color="548235"/>
            </w:tcBorders>
            <w:tcMar>
              <w:top w:w="120" w:type="dxa"/>
              <w:start w:w="150" w:type="dxa"/>
              <w:bottom w:w="120" w:type="dxa"/>
              <w:end w:w="150" w:type="dxa"/>
            </w:tcMar>
          </w:tcPr>
          <w:p>
            <w:pPr>
              <w:keepNext w:val="0"/>
              <w:keepLines w:val="0"/>
              <w:widowControl/>
              <w:spacing w:before="0" w:after="60" w:line="300" w:lineRule="auto"/>
            </w:pPr>
            <w:r>
              <w:rPr>
                <w:rFonts w:ascii="Noto Sans CJK SC" w:hAnsi="Noto Sans CJK SC" w:eastAsia="Noto Sans CJK SC" w:cs="Noto Sans CJK SC"/>
                <w:b/>
                <w:i w:val="0"/>
                <w:color w:val="548235"/>
                <w:sz w:val="22"/>
              </w:rPr>
              <w:t>最终MVP交付物</w:t>
            </w:r>
          </w:p>
          <w:p>
            <w:pPr>
              <w:keepNext w:val="0"/>
              <w:keepLines w:val="0"/>
              <w:widowControl/>
              <w:spacing w:before="0" w:after="0" w:line="343" w:lineRule="auto"/>
            </w:pPr>
            <w:r>
              <w:rPr>
                <w:rFonts w:ascii="Noto Sans CJK SC" w:hAnsi="Noto Sans CJK SC" w:eastAsia="Noto Sans CJK SC" w:cs="Noto Sans CJK SC"/>
                <w:b w:val="0"/>
                <w:i w:val="0"/>
                <w:color w:val="263238"/>
                <w:sz w:val="20"/>
              </w:rPr>
              <w:t>一个可运行Web应用、一个注册在Base Sepolia的EAS Schema、三类角色页面、至少一条有效凭证和一条已撤销凭证，以及能够从链上独立核验的公开验证链接。</w:t>
            </w:r>
          </w:p>
        </w:tc>
      </w:tr>
    </w:tbl>
    <w:p>
      <w:pPr>
        <w:spacing w:after="20"/>
      </w:pPr>
    </w:p>
    <w:p>
      <w:pPr>
        <w:pStyle w:val="Heading1"/>
      </w:pPr>
      <w:r>
        <w:rPr>
          <w:rFonts w:ascii="Noto Sans CJK SC" w:hAnsi="Noto Sans CJK SC" w:eastAsia="Noto Sans CJK SC" w:cs="Noto Sans CJK SC"/>
          <w:b/>
          <w:i w:val="0"/>
          <w:color w:val="17365D"/>
          <w:sz w:val="34"/>
        </w:rPr>
        <w:t>附录A：页面清单</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49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页面/路由</w:t>
            </w:r>
          </w:p>
        </w:tc>
        <w:tc>
          <w:tcPr>
            <w:tcW w:type="dxa" w:w="1814"/>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角色</w:t>
            </w:r>
          </w:p>
        </w:tc>
        <w:tc>
          <w:tcPr>
            <w:tcW w:type="dxa" w:w="2891"/>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核心内容</w:t>
            </w:r>
          </w:p>
        </w:tc>
        <w:tc>
          <w:tcPr>
            <w:tcW w:type="dxa" w:w="226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P0</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全部</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项目介绍与钱包入口</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/issuer/projects</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任务列表与状态</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/issuer/projects/new</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创建匿名任务</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/projects/{id}</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双方</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任务详情、提交、验收</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/designer/credentials</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设计师</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获得的凭证列表</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/credentials/{uid}</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登录用户</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凭证详情与分享</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/verify/{uid}</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公开</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HR链上验证页</w:t>
            </w:r>
          </w:p>
        </w:tc>
        <w:tc>
          <w:tcPr>
            <w:tcW w:type="dxa" w:w="2353"/>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是</w:t>
            </w:r>
          </w:p>
        </w:tc>
      </w:tr>
      <w:tr>
        <w:trPr>
          <w:cantSplit/>
        </w:trPr>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DejaVu Sans Mono" w:hAnsi="DejaVu Sans Mono" w:eastAsia="DejaVu Sans Mono" w:cs="DejaVu Sans Mono"/>
                <w:b/>
                <w:i w:val="0"/>
                <w:color w:val="17365D"/>
                <w:sz w:val="16"/>
              </w:rPr>
              <w:t>/admin/issuers</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管理员</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签发方白名单</w:t>
            </w:r>
          </w:p>
        </w:tc>
        <w:tc>
          <w:tcPr>
            <w:tcW w:type="dxa" w:w="2353"/>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否/P1</w:t>
            </w:r>
          </w:p>
        </w:tc>
      </w:tr>
    </w:tbl>
    <w:p>
      <w:pPr>
        <w:pStyle w:val="Heading1"/>
      </w:pPr>
      <w:r>
        <w:rPr>
          <w:rFonts w:ascii="Noto Sans CJK SC" w:hAnsi="Noto Sans CJK SC" w:eastAsia="Noto Sans CJK SC" w:cs="Noto Sans CJK SC"/>
          <w:b/>
          <w:i w:val="0"/>
          <w:color w:val="17365D"/>
          <w:sz w:val="34"/>
        </w:rPr>
        <w:t>附录B：受控枚举建议</w:t>
      </w:r>
    </w:p>
    <w:p>
      <w:pPr>
        <w:pStyle w:val="Heading2"/>
      </w:pPr>
      <w:r>
        <w:rPr>
          <w:rFonts w:ascii="Noto Sans CJK SC" w:hAnsi="Noto Sans CJK SC" w:eastAsia="Noto Sans CJK SC" w:cs="Noto Sans CJK SC"/>
          <w:b/>
          <w:i w:val="0"/>
          <w:color w:val="2F5597"/>
          <w:sz w:val="26"/>
        </w:rPr>
        <w:t>B.1 项目类别</w:t>
      </w:r>
    </w:p>
    <w:p>
      <w:pPr>
        <w:keepNext w:val="0"/>
        <w:keepLines w:val="0"/>
        <w:spacing w:before="0" w:after="120" w:line="365" w:lineRule="auto"/>
      </w:pPr>
      <w:r>
        <w:rPr>
          <w:rFonts w:ascii="Noto Sans CJK SC" w:hAnsi="Noto Sans CJK SC" w:eastAsia="Noto Sans CJK SC" w:cs="Noto Sans CJK SC"/>
          <w:b w:val="0"/>
          <w:i w:val="0"/>
          <w:color w:val="263238"/>
          <w:sz w:val="20"/>
        </w:rPr>
        <w:t>品牌视觉、Logo/VI、电商详情页、营销海报、社交媒体素材、UI界面、网页视觉、PPT/排版、插画、视频视觉、其他。</w:t>
      </w:r>
    </w:p>
    <w:p>
      <w:pPr>
        <w:pStyle w:val="Heading2"/>
      </w:pPr>
      <w:r>
        <w:rPr>
          <w:rFonts w:ascii="Noto Sans CJK SC" w:hAnsi="Noto Sans CJK SC" w:eastAsia="Noto Sans CJK SC" w:cs="Noto Sans CJK SC"/>
          <w:b/>
          <w:i w:val="0"/>
          <w:color w:val="2F5597"/>
          <w:sz w:val="26"/>
        </w:rPr>
        <w:t>B.2 角色</w:t>
      </w:r>
    </w:p>
    <w:p>
      <w:pPr>
        <w:keepNext w:val="0"/>
        <w:keepLines w:val="0"/>
        <w:spacing w:before="0" w:after="120" w:line="365" w:lineRule="auto"/>
      </w:pPr>
      <w:r>
        <w:rPr>
          <w:rFonts w:ascii="Noto Sans CJK SC" w:hAnsi="Noto Sans CJK SC" w:eastAsia="Noto Sans CJK SC" w:cs="Noto Sans CJK SC"/>
          <w:b w:val="0"/>
          <w:i w:val="0"/>
          <w:color w:val="263238"/>
          <w:sz w:val="20"/>
        </w:rPr>
        <w:t>主设计、执行设计、视觉延展、UI执行、排版、插画、动效、修改与适配、其他。</w:t>
      </w:r>
    </w:p>
    <w:p>
      <w:pPr>
        <w:pStyle w:val="Heading2"/>
      </w:pPr>
      <w:r>
        <w:rPr>
          <w:rFonts w:ascii="Noto Sans CJK SC" w:hAnsi="Noto Sans CJK SC" w:eastAsia="Noto Sans CJK SC" w:cs="Noto Sans CJK SC"/>
          <w:b/>
          <w:i w:val="0"/>
          <w:color w:val="2F5597"/>
          <w:sz w:val="26"/>
        </w:rPr>
        <w:t>B.3 保密级别</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0：可公开项目类别、角色和摘要。</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1：匿名行业，只公开类别、角色和去标识摘要。</w:t>
      </w:r>
    </w:p>
    <w:p>
      <w:pPr>
        <w:pStyle w:val="ListBullet"/>
        <w:keepNext w:val="0"/>
        <w:keepLines w:val="0"/>
        <w:spacing w:before="0" w:after="60" w:line="322" w:lineRule="auto"/>
      </w:pPr>
      <w:r>
        <w:rPr>
          <w:rFonts w:ascii="Noto Sans CJK SC" w:hAnsi="Noto Sans CJK SC" w:eastAsia="Noto Sans CJK SC" w:cs="Noto Sans CJK SC"/>
          <w:b w:val="0"/>
          <w:i w:val="0"/>
          <w:color w:val="263238"/>
          <w:sz w:val="20"/>
        </w:rPr>
        <w:t>2：最小披露，只公开项目类别、角色和时间。</w:t>
      </w:r>
    </w:p>
    <w:p>
      <w:pPr>
        <w:pStyle w:val="Heading1"/>
      </w:pPr>
      <w:r>
        <w:rPr>
          <w:rFonts w:ascii="Noto Sans CJK SC" w:hAnsi="Noto Sans CJK SC" w:eastAsia="Noto Sans CJK SC" w:cs="Noto Sans CJK SC"/>
          <w:b/>
          <w:i w:val="0"/>
          <w:color w:val="17365D"/>
          <w:sz w:val="34"/>
        </w:rPr>
        <w:t>附录C：技术依据与参考资料</w:t>
      </w:r>
    </w:p>
    <w:p>
      <w:pPr>
        <w:keepNext w:val="0"/>
        <w:keepLines w:val="0"/>
        <w:spacing w:before="0" w:after="40" w:line="312" w:lineRule="auto"/>
      </w:pPr>
      <w:r>
        <w:rPr>
          <w:rFonts w:ascii="Noto Sans CJK SC" w:hAnsi="Noto Sans CJK SC" w:eastAsia="Noto Sans CJK SC" w:cs="Noto Sans CJK SC"/>
          <w:b/>
          <w:i w:val="0"/>
          <w:color w:val="17365D"/>
          <w:sz w:val="18"/>
        </w:rPr>
        <w:t xml:space="preserve">[1] </w:t>
      </w:r>
      <w:hyperlink r:id="rId11">
        <w:r>
          <w:rPr>
            <w:rFonts w:ascii="Noto Sans CJK SC" w:hAnsi="Noto Sans CJK SC" w:eastAsia="Noto Sans CJK SC" w:cs="Noto Sans CJK SC"/>
            <w:color w:val="2F5597"/>
            <w:sz w:val="18"/>
            <w:szCs w:val="18"/>
            <w:u w:val="single"/>
          </w:rPr>
          <w:t>W3C Verifiable Credentials Data Model v2.0（Recommendation，2025-05-15）</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定义Issuer、Holder、Verifier、可验证凭证及验证边界；特别指出验证凭证不等同于判断声明内容为真。</w:t>
      </w:r>
    </w:p>
    <w:p>
      <w:pPr>
        <w:keepNext w:val="0"/>
        <w:keepLines w:val="0"/>
        <w:spacing w:before="0" w:after="40" w:line="312" w:lineRule="auto"/>
      </w:pPr>
      <w:r>
        <w:rPr>
          <w:rFonts w:ascii="Noto Sans CJK SC" w:hAnsi="Noto Sans CJK SC" w:eastAsia="Noto Sans CJK SC" w:cs="Noto Sans CJK SC"/>
          <w:b/>
          <w:i w:val="0"/>
          <w:color w:val="17365D"/>
          <w:sz w:val="18"/>
        </w:rPr>
        <w:t xml:space="preserve">[2] </w:t>
      </w:r>
      <w:hyperlink r:id="rId12">
        <w:r>
          <w:rPr>
            <w:rFonts w:ascii="Noto Sans CJK SC" w:hAnsi="Noto Sans CJK SC" w:eastAsia="Noto Sans CJK SC" w:cs="Noto Sans CJK SC"/>
            <w:color w:val="2F5597"/>
            <w:sz w:val="18"/>
            <w:szCs w:val="18"/>
            <w:u w:val="single"/>
          </w:rPr>
          <w:t>Ethereum Attestation Service：How EAS Works</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说明schema注册、结构化声明签名及attestation生命周期。</w:t>
      </w:r>
    </w:p>
    <w:p>
      <w:pPr>
        <w:keepNext w:val="0"/>
        <w:keepLines w:val="0"/>
        <w:spacing w:before="0" w:after="40" w:line="312" w:lineRule="auto"/>
      </w:pPr>
      <w:r>
        <w:rPr>
          <w:rFonts w:ascii="Noto Sans CJK SC" w:hAnsi="Noto Sans CJK SC" w:eastAsia="Noto Sans CJK SC" w:cs="Noto Sans CJK SC"/>
          <w:b/>
          <w:i w:val="0"/>
          <w:color w:val="17365D"/>
          <w:sz w:val="18"/>
        </w:rPr>
        <w:t xml:space="preserve">[3] </w:t>
      </w:r>
      <w:hyperlink r:id="rId13">
        <w:r>
          <w:rPr>
            <w:rFonts w:ascii="Noto Sans CJK SC" w:hAnsi="Noto Sans CJK SC" w:eastAsia="Noto Sans CJK SC" w:cs="Noto Sans CJK SC"/>
            <w:color w:val="2F5597"/>
            <w:sz w:val="18"/>
            <w:szCs w:val="18"/>
            <w:u w:val="single"/>
          </w:rPr>
          <w:t>Ethereum Attestation Service：Schemas</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说明schema作为attestation数据结构蓝图及Schema Registry。</w:t>
      </w:r>
    </w:p>
    <w:p>
      <w:pPr>
        <w:keepNext w:val="0"/>
        <w:keepLines w:val="0"/>
        <w:spacing w:before="0" w:after="40" w:line="312" w:lineRule="auto"/>
      </w:pPr>
      <w:r>
        <w:rPr>
          <w:rFonts w:ascii="Noto Sans CJK SC" w:hAnsi="Noto Sans CJK SC" w:eastAsia="Noto Sans CJK SC" w:cs="Noto Sans CJK SC"/>
          <w:b/>
          <w:i w:val="0"/>
          <w:color w:val="17365D"/>
          <w:sz w:val="18"/>
        </w:rPr>
        <w:t xml:space="preserve">[4] </w:t>
      </w:r>
      <w:hyperlink r:id="rId14">
        <w:r>
          <w:rPr>
            <w:rFonts w:ascii="Noto Sans CJK SC" w:hAnsi="Noto Sans CJK SC" w:eastAsia="Noto Sans CJK SC" w:cs="Noto Sans CJK SC"/>
            <w:color w:val="2F5597"/>
            <w:sz w:val="18"/>
            <w:szCs w:val="18"/>
            <w:u w:val="single"/>
          </w:rPr>
          <w:t>Ethereum Attestation Service：Attestations</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说明链上/链下attestation、attester、recipient和可读数据。</w:t>
      </w:r>
    </w:p>
    <w:p>
      <w:pPr>
        <w:keepNext w:val="0"/>
        <w:keepLines w:val="0"/>
        <w:spacing w:before="0" w:after="40" w:line="312" w:lineRule="auto"/>
      </w:pPr>
      <w:r>
        <w:rPr>
          <w:rFonts w:ascii="Noto Sans CJK SC" w:hAnsi="Noto Sans CJK SC" w:eastAsia="Noto Sans CJK SC" w:cs="Noto Sans CJK SC"/>
          <w:b/>
          <w:i w:val="0"/>
          <w:color w:val="17365D"/>
          <w:sz w:val="18"/>
        </w:rPr>
        <w:t xml:space="preserve">[5] </w:t>
      </w:r>
      <w:hyperlink r:id="rId15">
        <w:r>
          <w:rPr>
            <w:rFonts w:ascii="Noto Sans CJK SC" w:hAnsi="Noto Sans CJK SC" w:eastAsia="Noto Sans CJK SC" w:cs="Noto Sans CJK SC"/>
            <w:color w:val="2F5597"/>
            <w:sz w:val="18"/>
            <w:szCs w:val="18"/>
            <w:u w:val="single"/>
          </w:rPr>
          <w:t>Ethereum Attestation Service：Revocation</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说明可撤销schema及撤销保留历史的机制。</w:t>
      </w:r>
    </w:p>
    <w:p>
      <w:pPr>
        <w:keepNext w:val="0"/>
        <w:keepLines w:val="0"/>
        <w:spacing w:before="0" w:after="40" w:line="312" w:lineRule="auto"/>
      </w:pPr>
      <w:r>
        <w:rPr>
          <w:rFonts w:ascii="Noto Sans CJK SC" w:hAnsi="Noto Sans CJK SC" w:eastAsia="Noto Sans CJK SC" w:cs="Noto Sans CJK SC"/>
          <w:b/>
          <w:i w:val="0"/>
          <w:color w:val="17365D"/>
          <w:sz w:val="18"/>
        </w:rPr>
        <w:t xml:space="preserve">[6] </w:t>
      </w:r>
      <w:hyperlink r:id="rId16">
        <w:r>
          <w:rPr>
            <w:rFonts w:ascii="Noto Sans CJK SC" w:hAnsi="Noto Sans CJK SC" w:eastAsia="Noto Sans CJK SC" w:cs="Noto Sans CJK SC"/>
            <w:color w:val="2F5597"/>
            <w:sz w:val="18"/>
            <w:szCs w:val="18"/>
            <w:u w:val="single"/>
          </w:rPr>
          <w:t>Ethereum Attestation Service：Contract Addresses</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列出Base Sepolia等网络的EAS合约部署。</w:t>
      </w:r>
    </w:p>
    <w:p>
      <w:pPr>
        <w:keepNext w:val="0"/>
        <w:keepLines w:val="0"/>
        <w:spacing w:before="0" w:after="40" w:line="312" w:lineRule="auto"/>
      </w:pPr>
      <w:r>
        <w:rPr>
          <w:rFonts w:ascii="Noto Sans CJK SC" w:hAnsi="Noto Sans CJK SC" w:eastAsia="Noto Sans CJK SC" w:cs="Noto Sans CJK SC"/>
          <w:b/>
          <w:i w:val="0"/>
          <w:color w:val="17365D"/>
          <w:sz w:val="18"/>
        </w:rPr>
        <w:t xml:space="preserve">[7] </w:t>
      </w:r>
      <w:hyperlink r:id="rId17">
        <w:r>
          <w:rPr>
            <w:rFonts w:ascii="Noto Sans CJK SC" w:hAnsi="Noto Sans CJK SC" w:eastAsia="Noto Sans CJK SC" w:cs="Noto Sans CJK SC"/>
            <w:color w:val="2F5597"/>
            <w:sz w:val="18"/>
            <w:szCs w:val="18"/>
            <w:u w:val="single"/>
          </w:rPr>
          <w:t>Base Documentation：Connecting to Base</w:t>
        </w:r>
      </w:hyperlink>
    </w:p>
    <w:p>
      <w:pPr>
        <w:keepNext w:val="0"/>
        <w:keepLines w:val="0"/>
        <w:spacing w:before="0" w:after="120" w:line="324" w:lineRule="auto"/>
        <w:ind w:left="397"/>
      </w:pPr>
      <w:r>
        <w:rPr>
          <w:rFonts w:ascii="Noto Sans CJK SC" w:hAnsi="Noto Sans CJK SC" w:eastAsia="Noto Sans CJK SC" w:cs="Noto Sans CJK SC"/>
          <w:b w:val="0"/>
          <w:i w:val="0"/>
          <w:color w:val="5F6B73"/>
          <w:sz w:val="18"/>
        </w:rPr>
        <w:t>提供Base Sepolia网络连接信息。</w:t>
      </w:r>
    </w:p>
    <w:p>
      <w:pPr>
        <w:pStyle w:val="Heading1"/>
      </w:pPr>
      <w:r>
        <w:rPr>
          <w:rFonts w:ascii="Noto Sans CJK SC" w:hAnsi="Noto Sans CJK SC" w:eastAsia="Noto Sans CJK SC" w:cs="Noto Sans CJK SC"/>
          <w:b/>
          <w:i w:val="0"/>
          <w:color w:val="17365D"/>
          <w:sz w:val="34"/>
        </w:rPr>
        <w:t>附录D：关键决策记录</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260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决策</w:t>
            </w:r>
          </w:p>
        </w:tc>
        <w:tc>
          <w:tcPr>
            <w:tcW w:type="dxa" w:w="2948"/>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选择</w:t>
            </w:r>
          </w:p>
        </w:tc>
        <w:tc>
          <w:tcPr>
            <w:tcW w:type="dxa" w:w="3969"/>
            <w:vAlign w:val="center"/>
            <w:shd w:fill="17365D"/>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center"/>
            </w:pPr>
            <w:r/>
            <w:r>
              <w:rPr>
                <w:rFonts w:ascii="Noto Sans CJK SC" w:hAnsi="Noto Sans CJK SC" w:eastAsia="Noto Sans CJK SC" w:cs="Noto Sans CJK SC"/>
                <w:b/>
                <w:i w:val="0"/>
                <w:color w:val="FFFFFF"/>
                <w:sz w:val="18"/>
              </w:rPr>
              <w:t>原因</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是否做完整接单平台</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F7A8C"/>
                <w:sz w:val="16"/>
              </w:rPr>
              <w:t>否</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无法在MVP中同时验证获客、交易、支付和职业凭证，且会改变现有利益关系。</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是否使用NFT</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F7A8C"/>
                <w:sz w:val="16"/>
              </w:rPr>
              <w:t>否</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职业贡献是不可转让声明，不是资产。</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是否将文件放IPFS</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F7A8C"/>
                <w:sz w:val="16"/>
              </w:rPr>
              <w:t>否（MVP）</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未发布设计资料即使加密也存在长期泄露与密钥管理风险；链上只保存哈希。</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是否完整实现W3C VC</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F7A8C"/>
                <w:sz w:val="16"/>
              </w:rPr>
              <w:t>否（MVP）</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先验证EAS凭证闭环，字段保持可映射性。</w:t>
            </w:r>
          </w:p>
        </w:tc>
      </w:tr>
      <w:tr>
        <w:trPr>
          <w:cantSplit/>
        </w:trPr>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HR是否需要钱包</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F7A8C"/>
                <w:sz w:val="16"/>
              </w:rPr>
              <w:t>否</w:t>
            </w:r>
          </w:p>
        </w:tc>
        <w:tc>
          <w:tcPr>
            <w:tcW w:type="dxa" w:w="3137"/>
            <w:vAlign w:val="center"/>
            <w:shd w:fill="FFFFFF"/>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验证方是低频用户，钱包要求会直接破坏验证体验。</w:t>
            </w:r>
          </w:p>
        </w:tc>
      </w:tr>
      <w:tr>
        <w:trPr>
          <w:cantSplit/>
        </w:trPr>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7365D"/>
                <w:sz w:val="16"/>
              </w:rPr>
              <w:t>链上是否保存客户名</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i w:val="0"/>
                <w:color w:val="1F7A8C"/>
                <w:sz w:val="16"/>
              </w:rPr>
              <w:t>绝不保存</w:t>
            </w:r>
          </w:p>
        </w:tc>
        <w:tc>
          <w:tcPr>
            <w:tcW w:type="dxa" w:w="3137"/>
            <w:vAlign w:val="center"/>
            <w:shd w:fill="F3F5F7"/>
            <w:tcBorders>
              <w:top w:val="single" w:sz="4" w:color="D9E1E8"/>
              <w:left w:val="single" w:sz="4" w:color="D9E1E8"/>
              <w:bottom w:val="single" w:sz="4" w:color="D9E1E8"/>
              <w:right w:val="single" w:sz="4" w:color="D9E1E8"/>
            </w:tcBorders>
            <w:tcMar>
              <w:top w:w="90" w:type="dxa"/>
              <w:start w:w="100" w:type="dxa"/>
              <w:bottom w:w="90" w:type="dxa"/>
              <w:end w:w="100" w:type="dxa"/>
            </w:tcMar>
          </w:tcPr>
          <w:p>
            <w:pPr>
              <w:keepNext w:val="0"/>
              <w:keepLines w:val="0"/>
              <w:widowControl/>
              <w:spacing w:before="0" w:after="0" w:line="300" w:lineRule="auto"/>
              <w:jc w:val="left"/>
            </w:pPr>
            <w:r/>
            <w:r>
              <w:rPr>
                <w:rFonts w:ascii="Noto Sans CJK SC" w:hAnsi="Noto Sans CJK SC" w:eastAsia="Noto Sans CJK SC" w:cs="Noto Sans CJK SC"/>
                <w:b w:val="0"/>
                <w:i w:val="0"/>
                <w:color w:val="263238"/>
                <w:sz w:val="16"/>
              </w:rPr>
              <w:t>链上数据不可删除且容易被索引，不符合商业隐私边界。</w:t>
            </w:r>
          </w:p>
        </w:tc>
      </w:tr>
    </w:tbl>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Noto Sans CJK SC" w:hAnsi="Noto Sans CJK SC" w:eastAsia="Noto Sans CJK SC" w:cs="Noto Sans CJK SC"/>
        <w:b w:val="0"/>
        <w:i w:val="0"/>
        <w:color w:val="5F6B73"/>
        <w:sz w:val="16"/>
      </w:rPr>
      <w:t xml:space="preserve">— 第 </w:t>
    </w:r>
    <w:r>
      <w:rPr>
        <w:rFonts w:ascii="Noto Sans CJK SC" w:hAnsi="Noto Sans CJK SC" w:eastAsia="Noto Sans CJK SC" w:cs="Noto Sans CJK SC"/>
        <w:b w:val="0"/>
        <w:i w:val="0"/>
        <w:color w:val="5F6B73"/>
        <w:sz w:val="16"/>
      </w:rPr>
      <w:fldChar w:fldCharType="begin"/>
      <w:instrText xml:space="preserve"> PAGE </w:instrText>
      <w:fldChar w:fldCharType="end"/>
    </w:r>
    <w:r>
      <w:rPr>
        <w:rFonts w:ascii="Noto Sans CJK SC" w:hAnsi="Noto Sans CJK SC" w:eastAsia="Noto Sans CJK SC" w:cs="Noto Sans CJK SC"/>
        <w:b w:val="0"/>
        <w:i w:val="0"/>
        <w:color w:val="5F6B73"/>
        <w:sz w:val="16"/>
      </w:rPr>
      <w:t xml:space="preserve"> 页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right"/>
    </w:pPr>
    <w:r>
      <w:rPr>
        <w:rFonts w:ascii="Noto Sans CJK SC" w:hAnsi="Noto Sans CJK SC" w:eastAsia="Noto Sans CJK SC" w:cs="Noto Sans CJK SC"/>
        <w:b w:val="0"/>
        <w:i w:val="0"/>
        <w:color w:val="5F6B73"/>
        <w:sz w:val="16"/>
      </w:rPr>
      <w:t>职业贡献凭证项目｜MVP需求文档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CJK SC" w:hAnsi="Noto Sans CJK SC" w:eastAsia="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SC" w:hAnsi="Noto Sans CJK SC" w:eastAsia="Noto Sans CJK SC"/>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Noto Sans CJK SC" w:hAnsi="Noto Sans CJK SC" w:eastAsia="Noto Sans CJK SC"/>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CJK SC" w:hAnsi="Noto Sans CJK SC" w:eastAsia="Noto Sans CJK SC"/>
      <w:b w:val="0"/>
      <w:i/>
      <w:iCs/>
      <w:color w:val="5F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76" w:lineRule="auto"/>
      <w:ind w:left="198" w:right="198"/>
    </w:pPr>
    <w:rPr>
      <w:rFonts w:ascii="DejaVu Sans Mono" w:hAnsi="DejaVu Sans Mono" w:eastAsia="DejaVu Sans Mono"/>
      <w:color w:val="2632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vc-data-model-2.0/" TargetMode="External"/><Relationship Id="rId12" Type="http://schemas.openxmlformats.org/officeDocument/2006/relationships/hyperlink" Target="https://docs.attest.org/docs/core--concepts/how-eas-works" TargetMode="External"/><Relationship Id="rId13" Type="http://schemas.openxmlformats.org/officeDocument/2006/relationships/hyperlink" Target="https://docs.attest.org/docs/core--concepts/schemas" TargetMode="External"/><Relationship Id="rId14" Type="http://schemas.openxmlformats.org/officeDocument/2006/relationships/hyperlink" Target="https://docs.attest.org/docs/core--concepts/attestations" TargetMode="External"/><Relationship Id="rId15" Type="http://schemas.openxmlformats.org/officeDocument/2006/relationships/hyperlink" Target="https://docs.attest.org/docs/core--concepts/revocation" TargetMode="External"/><Relationship Id="rId16" Type="http://schemas.openxmlformats.org/officeDocument/2006/relationships/hyperlink" Target="https://docs.attest.org/docs/quick--start/contracts" TargetMode="External"/><Relationship Id="rId17" Type="http://schemas.openxmlformats.org/officeDocument/2006/relationships/hyperlink" Target="https://docs.base.org/base-chain/quickstart/connecting-to-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设计外包职业贡献凭证项目 MVP需求文档</dc:title>
  <dc:subject>基于EAS和Base Sepolia的最小可行产品需求文档</dc:subject>
  <dc:creator/>
  <cp:keywords>MVP, 区块链, EAS, 职业贡献凭证, 设计外包</cp:keywords>
  <dc:description>generated by python-docx</dc:description>
  <cp:lastModifiedBy/>
  <cp:revision>1</cp:revision>
  <dcterms:created xsi:type="dcterms:W3CDTF">2013-12-23T23:15:00Z</dcterms:created>
  <dcterms:modified xsi:type="dcterms:W3CDTF">2013-12-23T23:15:00Z</dcterms:modified>
  <cp:category/>
</cp:coreProperties>
</file>