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SimHei" w:hAnsi="SimHei" w:eastAsia="SimHei"/>
          <w:b/>
          <w:color w:val="000000"/>
          <w:sz w:val="44"/>
        </w:rPr>
        <w:t>脱敏数据摘要命令行工具</w:t>
      </w:r>
    </w:p>
    <w:p>
      <w:pPr>
        <w:spacing w:after="600"/>
        <w:jc w:val="center"/>
      </w:pPr>
      <w:r>
        <w:rPr>
          <w:rFonts w:ascii="SimSun" w:hAnsi="SimSun" w:eastAsia="SimSun"/>
          <w:color w:val="000000"/>
          <w:sz w:val="28"/>
        </w:rPr>
        <w:t>V1.0 版</w:t>
      </w:r>
    </w:p>
    <w:p>
      <w:pPr>
        <w:jc w:val="center"/>
      </w:pPr>
      <w:r>
        <w:rPr>
          <w:rFonts w:ascii="SimHei" w:hAnsi="SimHei" w:eastAsia="SimHei"/>
          <w:b/>
          <w:color w:val="000000"/>
          <w:sz w:val="36"/>
        </w:rPr>
        <w:t>操作手册</w:t>
      </w:r>
    </w:p>
    <w:p/>
    <w:p/>
    <w:p/>
    <w:p/>
    <w:p/>
    <w:p/>
    <w:p/>
    <w:p/>
    <w:p>
      <w:pPr>
        <w:jc w:val="center"/>
      </w:pPr>
      <w:r>
        <w:rPr>
          <w:rFonts w:ascii="SimSun" w:hAnsi="SimSun" w:eastAsia="SimSun"/>
          <w:sz w:val="24"/>
        </w:rPr>
        <w:t>演示软件研究中心</w:t>
      </w:r>
    </w:p>
    <w:p>
      <w:pPr>
        <w:jc w:val="center"/>
      </w:pPr>
      <w:r>
        <w:rPr>
          <w:rFonts w:ascii="SimSun" w:hAnsi="SimSun" w:eastAsia="SimSun"/>
          <w:sz w:val="24"/>
        </w:rPr>
        <w:t>2026-08-11</w:t>
      </w:r>
    </w:p>
    <w:p>
      <w:r>
        <w:br w:type="page"/>
      </w:r>
    </w:p>
    <w:p>
      <w:pPr>
        <w:pStyle w:val="ManualTocTitle"/>
      </w:pPr>
      <w:r>
        <w:t>目录</w:t>
      </w:r>
    </w:p>
    <w:p>
      <w:pPr>
        <w:spacing w:before="120"/>
      </w:pPr>
      <w:r>
        <w:fldChar w:fldCharType="begin" w:dirty="true"/>
        <w:instrText xml:space="preserve"> TOC \o "1-3" \h \z \u </w:instrText>
        <w:fldChar w:fldCharType="separate"/>
        <w:t>右键并选择“更新域”，或运行目录刷新脚本。</w:t>
        <w:fldChar w:fldCharType="end"/>
      </w:r>
    </w:p>
    <w:p>
      <w:r>
        <w:br w:type="page"/>
      </w:r>
    </w:p>
    <w:p>
      <w:pPr>
        <w:pStyle w:val="Heading1"/>
        <w:keepNext/>
      </w:pPr>
      <w:r>
        <w:t>1 软件概述</w:t>
      </w:r>
    </w:p>
    <w:p>
      <w:pPr>
        <w:pStyle w:val="ManualLead"/>
      </w:pPr>
      <w:r>
        <w:t>帮助开发和运维人员对脱敏文本数据生成数量、长度和分组摘要。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467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SimHei" w:hAnsi="SimHei" w:eastAsia="SimHei"/>
                <w:b/>
                <w:color w:val="000000"/>
              </w:rPr>
              <w:t>项目</w:t>
            </w:r>
          </w:p>
        </w:tc>
        <w:tc>
          <w:tcPr>
            <w:tcW w:type="dxa" w:w="467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SimHei" w:hAnsi="SimHei" w:eastAsia="SimHei"/>
                <w:b/>
                <w:color w:val="000000"/>
              </w:rPr>
              <w:t>说明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开发目的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帮助开发和运维人员对脱敏文本数据生成数量、长度和分组摘要。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目标用户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需要完成该项业务的内部工作人员与系统维护人员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面向领域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通用软件工具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软件版本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V1.0</w:t>
            </w:r>
          </w:p>
        </w:tc>
      </w:tr>
    </w:tbl>
    <w:p>
      <w:pPr>
        <w:spacing w:after="20"/>
      </w:pPr>
    </w:p>
    <w:p>
      <w:r>
        <w:t>软件围绕帮助开发和运维人员对脱敏文本数据生成数量、长度和分组摘要。提供统一入口。使用者可从终端中的 summary-cli 命令进入，查看命令参数帮助、处理进度和结构化摘要结果，按照明确步骤完成输入、执行与结果核验。系统对必填项、输入路径和操作状态进行校验；成功时给出可见反馈，失败时保留原因并允许修正后重试。操作记录使用脱敏标识，演示数据不包含真实个人信息。该演示只描述源码与截图中能够核验的能力，用于展示申请材料如何保持表单、手册、截图与代码一致。</w:t>
      </w:r>
    </w:p>
    <w:p>
      <w:r>
        <w:br w:type="page"/>
      </w:r>
    </w:p>
    <w:p>
      <w:pPr>
        <w:pStyle w:val="Heading1"/>
        <w:keepNext/>
      </w:pPr>
      <w:r>
        <w:t>2 运行环境与启动</w:t>
      </w:r>
    </w:p>
    <w:p>
      <w:pPr>
        <w:pStyle w:val="ManualLead"/>
      </w:pPr>
      <w:r>
        <w:t>说明使用软件前需要具备的环境和启动方式。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467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SimHei" w:hAnsi="SimHei" w:eastAsia="SimHei"/>
                <w:b/>
                <w:color w:val="000000"/>
              </w:rPr>
              <w:t>项目</w:t>
            </w:r>
          </w:p>
        </w:tc>
        <w:tc>
          <w:tcPr>
            <w:tcW w:type="dxa" w:w="467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SimHei" w:hAnsi="SimHei" w:eastAsia="SimHei"/>
                <w:b/>
                <w:color w:val="000000"/>
              </w:rPr>
              <w:t>说明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运行平台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命令行工具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支撑环境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具备文件读写权限的常规计算机环境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启动方式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按照项目README中的启动入口运行，看到主界面或命令帮助即表示启动成功。</w:t>
            </w:r>
          </w:p>
        </w:tc>
      </w:tr>
    </w:tbl>
    <w:p>
      <w:pPr>
        <w:spacing w:after="20"/>
      </w:pPr>
    </w:p>
    <w:p>
      <w:r>
        <w:t>主要操作区域包括命令参数帮助、处理进度和结构化摘要结果。</w:t>
      </w:r>
    </w:p>
    <w:p>
      <w:r>
        <w:br w:type="page"/>
      </w:r>
    </w:p>
    <w:p>
      <w:pPr>
        <w:pStyle w:val="Heading1"/>
        <w:keepNext/>
      </w:pPr>
      <w:r>
        <w:t>3 主要操作流程</w:t>
      </w:r>
    </w:p>
    <w:p>
      <w:pPr>
        <w:pStyle w:val="ManualLead"/>
      </w:pPr>
      <w:r>
        <w:t>进入功能、提供输入、执行处理、查看结果、按提示修正异常。</w:t>
      </w:r>
    </w:p>
    <w:p>
      <w:r>
        <w:br w:type="page"/>
      </w:r>
    </w:p>
    <w:p>
      <w:pPr>
        <w:pStyle w:val="Heading1"/>
        <w:keepNext/>
      </w:pPr>
      <w:r>
        <w:t>4 核心处理</w:t>
      </w:r>
    </w:p>
    <w:p>
      <w:pPr>
        <w:pStyle w:val="ManualLead"/>
      </w:pPr>
      <w:r>
        <w:t>帮助开发和运维人员对脱敏文本数据生成数量、长度和分组摘要。</w:t>
      </w:r>
    </w:p>
    <w:p>
      <w:r>
        <w:t>帮助开发和运维人员对脱敏文本数据生成数量、长度和分组摘要。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467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SimHei" w:hAnsi="SimHei" w:eastAsia="SimHei"/>
                <w:b/>
                <w:color w:val="000000"/>
              </w:rPr>
              <w:t>操作要素</w:t>
            </w:r>
          </w:p>
        </w:tc>
        <w:tc>
          <w:tcPr>
            <w:tcW w:type="dxa" w:w="467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SimHei" w:hAnsi="SimHei" w:eastAsia="SimHei"/>
                <w:b/>
                <w:color w:val="000000"/>
              </w:rPr>
              <w:t>说明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适用用户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内部工作人员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进入位置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终端中的 summary-cli 命令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页面内容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命令参数帮助、处理进度和结构化摘要结果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使用限制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只使用脱敏演示数据；输入必须满足界面或命令提示</w:t>
            </w:r>
          </w:p>
        </w:tc>
      </w:tr>
    </w:tbl>
    <w:p>
      <w:pPr>
        <w:spacing w:after="20"/>
      </w:pPr>
    </w:p>
    <w:p>
      <w:pPr>
        <w:pStyle w:val="ListNumber"/>
      </w:pPr>
      <w:r>
        <w:t>在终端查看命令帮助</w:t>
      </w:r>
    </w:p>
    <w:p>
      <w:pPr>
        <w:pStyle w:val="ListNumber"/>
      </w:pPr>
      <w:r>
        <w:t>指定脱敏输入文件和输出目录</w:t>
      </w:r>
    </w:p>
    <w:p>
      <w:pPr>
        <w:pStyle w:val="ListNumber"/>
      </w:pPr>
      <w:r>
        <w:t>执行摘要命令</w:t>
      </w:r>
    </w:p>
    <w:p>
      <w:pPr>
        <w:pStyle w:val="ListNumber"/>
      </w:pPr>
      <w:r>
        <w:t>检查退出状态和生成的摘要文件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2F2F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rPr>
                <w:rFonts w:ascii="SimHei" w:hAnsi="SimHei" w:eastAsia="SimHei"/>
                <w:b/>
                <w:color w:val="333333"/>
              </w:rPr>
              <w:t xml:space="preserve">操作结果  </w:t>
            </w:r>
            <w:r>
              <w:rPr>
                <w:rFonts w:ascii="SimSun" w:hAnsi="SimSun" w:eastAsia="SimSun"/>
              </w:rPr>
              <w:t>命令返回退出状态0，并在目标目录生成摘要JSON文件。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F2F2F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rPr>
                <w:rFonts w:ascii="SimHei" w:hAnsi="SimHei" w:eastAsia="SimHei"/>
                <w:b/>
                <w:color w:val="333333"/>
              </w:rPr>
              <w:t xml:space="preserve">异常与输入提示  </w:t>
            </w:r>
            <w:r>
              <w:rPr>
                <w:rFonts w:ascii="SimSun" w:hAnsi="SimSun" w:eastAsia="SimSun"/>
              </w:rPr>
              <w:t>输入文件不存在或格式错误时，命令输出明确错误原因并返回非0退出状态。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-user-shot-0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图 1  核心处理</w:t>
      </w:r>
    </w:p>
    <w:p>
      <w:r>
        <w:br w:type="page"/>
      </w:r>
    </w:p>
    <w:p>
      <w:pPr>
        <w:pStyle w:val="Heading1"/>
        <w:keepNext/>
      </w:pPr>
      <w:r>
        <w:t>5 常见问题</w:t>
      </w:r>
    </w:p>
    <w:p>
      <w:pPr>
        <w:pStyle w:val="ManualLead"/>
      </w:pPr>
      <w:r>
        <w:t>以下问题来自实际操作中的常见判断点。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467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SimHei" w:hAnsi="SimHei" w:eastAsia="SimHei"/>
                <w:b/>
                <w:color w:val="000000"/>
              </w:rPr>
              <w:t>问题</w:t>
            </w:r>
          </w:p>
        </w:tc>
        <w:tc>
          <w:tcPr>
            <w:tcW w:type="dxa" w:w="467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SimHei" w:hAnsi="SimHei" w:eastAsia="SimHei"/>
                <w:b/>
                <w:color w:val="000000"/>
              </w:rPr>
              <w:t>处理方法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操作失败后如何处理？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输入文件不存在或格式错误时，命令输出明确错误原因并返回非0退出状态。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 术语说明</w:t>
      </w:r>
    </w:p>
    <w:p>
      <w:pPr>
        <w:pStyle w:val="ManualLead"/>
      </w:pPr>
      <w:r>
        <w:t>统一手册中的界面和状态名称。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467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SimHei" w:hAnsi="SimHei" w:eastAsia="SimHei"/>
                <w:b/>
                <w:color w:val="000000"/>
              </w:rPr>
              <w:t>术语</w:t>
            </w:r>
          </w:p>
        </w:tc>
        <w:tc>
          <w:tcPr>
            <w:tcW w:type="dxa" w:w="467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SimHei" w:hAnsi="SimHei" w:eastAsia="SimHei"/>
                <w:b/>
                <w:color w:val="000000"/>
              </w:rPr>
              <w:t>说明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脱敏数据</w:t>
            </w:r>
          </w:p>
        </w:tc>
        <w:tc>
          <w:tcPr>
            <w:tcW w:type="dxa" w:w="467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不包含可识别真实个人或组织的信息。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color w:val="666666"/>
        <w:sz w:val="18"/>
      </w:rPr>
      <w:t xml:space="preserve">第 </w:t>
    </w:r>
    <w:r>
      <w:fldChar w:fldCharType="begin" w:dirty="true"/>
      <w:instrText xml:space="preserve"> PAGE </w:instrText>
      <w:fldChar w:fldCharType="separate"/>
      <w:t>1</w:t>
      <w:fldChar w:fldCharType="end"/>
    </w:r>
    <w:r>
      <w:rPr>
        <w:rFonts w:ascii="SimSun" w:hAnsi="SimSun" w:eastAsia="SimSun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spacing w:after="40"/>
      <w:pBdr>
        <w:bottom w:val="single" w:sz="4" w:space="2" w:color="A6A6A6"/>
      </w:pBdr>
    </w:pPr>
    <w:r>
      <w:rPr>
        <w:rFonts w:ascii="SimSun" w:hAnsi="SimSun" w:eastAsia="SimSun"/>
        <w:color w:val="666666"/>
        <w:sz w:val="18"/>
      </w:rPr>
      <w:t>演示数据摘要命令行工具</w:t>
    </w:r>
    <w:r>
      <w:rPr>
        <w:rFonts w:ascii="Times New Roman" w:hAnsi="Times New Roman" w:eastAsia="Times New Roman"/>
        <w:color w:val="666666"/>
        <w:sz w:val="18"/>
      </w:rPr>
      <w:tab/>
      <w:t>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00"/>
    </w:pPr>
    <w:rPr>
      <w:rFonts w:ascii="SimSun" w:hAnsi="SimSun" w:eastAsia="SimSu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Eyebrow">
    <w:name w:val="Manual Eyebrow"/>
    <w:basedOn w:val="Normal"/>
    <w:rPr>
      <w:rFonts w:ascii="Times New Roman" w:hAnsi="Times New Roman" w:eastAsia="Times New Roman"/>
      <w:b/>
      <w:color w:val="333333"/>
      <w:sz w:val="18"/>
    </w:rPr>
  </w:style>
  <w:style w:type="paragraph" w:customStyle="1" w:styleId="ManualLead">
    <w:name w:val="Manual Lead"/>
    <w:basedOn w:val="Normal"/>
    <w:pPr>
      <w:spacing w:after="120" w:line="360" w:lineRule="auto"/>
    </w:pPr>
    <w:rPr>
      <w:rFonts w:ascii="SimSun" w:hAnsi="SimSun" w:eastAsia="SimSun"/>
      <w:b w:val="0"/>
      <w:color w:val="000000"/>
      <w:sz w:val="24"/>
    </w:rPr>
  </w:style>
  <w:style w:type="paragraph" w:customStyle="1" w:styleId="ManualCaption">
    <w:name w:val="Manual Caption"/>
    <w:basedOn w:val="Normal"/>
    <w:pPr>
      <w:spacing w:before="60" w:after="120"/>
      <w:jc w:val="center"/>
    </w:pPr>
    <w:rPr>
      <w:rFonts w:ascii="SimSun" w:hAnsi="SimSun" w:eastAsia="SimSun"/>
      <w:b w:val="0"/>
      <w:color w:val="000000"/>
      <w:sz w:val="21"/>
    </w:rPr>
  </w:style>
  <w:style w:type="paragraph" w:customStyle="1" w:styleId="EvidenceLine">
    <w:name w:val="Evidence Line"/>
    <w:basedOn w:val="Normal"/>
    <w:pPr>
      <w:spacing w:before="80"/>
    </w:pPr>
    <w:rPr>
      <w:rFonts w:ascii="Courier New" w:hAnsi="Courier New" w:eastAsia="Courier New"/>
      <w:b w:val="0"/>
      <w:color w:val="333333"/>
      <w:sz w:val="18"/>
    </w:rPr>
  </w:style>
  <w:style w:type="paragraph" w:customStyle="1" w:styleId="ManualTocTitle">
    <w:name w:val="Manual Toc Title"/>
    <w:basedOn w:val="Normal"/>
    <w:pPr>
      <w:spacing w:before="160" w:after="160"/>
      <w:jc w:val="center"/>
    </w:pPr>
    <w:rPr>
      <w:rFonts w:ascii="SimHei" w:hAnsi="SimHei" w:eastAsia="SimHei"/>
      <w:b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脱敏数据摘要命令行工具操作手册</dc:title>
  <dc:subject>软件著作权鉴别材料</dc:subject>
  <dc:creator>演示软件研究中心</dc:creator>
  <cp:keywords/>
  <dc:description>theme=standard-filing-gray; edition=正式版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