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SimHei" w:hAnsi="SimHei" w:eastAsia="SimHei"/>
          <w:b/>
          <w:color w:val="000000"/>
          <w:sz w:val="44"/>
        </w:rPr>
        <w:t>脱敏工单协同管理系统</w:t>
      </w:r>
    </w:p>
    <w:p>
      <w:pPr>
        <w:spacing w:after="600"/>
        <w:jc w:val="center"/>
      </w:pPr>
      <w:r>
        <w:rPr>
          <w:rFonts w:ascii="SimSun" w:hAnsi="SimSun" w:eastAsia="SimSun"/>
          <w:color w:val="000000"/>
          <w:sz w:val="28"/>
        </w:rPr>
        <w:t>V1.0 版</w:t>
      </w:r>
    </w:p>
    <w:p>
      <w:pPr>
        <w:jc w:val="center"/>
      </w:pPr>
      <w:r>
        <w:rPr>
          <w:rFonts w:ascii="SimHei" w:hAnsi="SimHei" w:eastAsia="SimHei"/>
          <w:b/>
          <w:color w:val="000000"/>
          <w:sz w:val="36"/>
        </w:rPr>
        <w:t>操作手册</w:t>
      </w:r>
    </w:p>
    <w:p/>
    <w:p/>
    <w:p/>
    <w:p/>
    <w:p/>
    <w:p/>
    <w:p/>
    <w:p/>
    <w:p>
      <w:pPr>
        <w:jc w:val="center"/>
      </w:pPr>
      <w:r>
        <w:rPr>
          <w:rFonts w:ascii="SimSun" w:hAnsi="SimSun" w:eastAsia="SimSun"/>
          <w:sz w:val="24"/>
        </w:rPr>
        <w:t>演示软件研究中心</w:t>
      </w:r>
    </w:p>
    <w:p>
      <w:pPr>
        <w:jc w:val="center"/>
      </w:pPr>
      <w:r>
        <w:rPr>
          <w:rFonts w:ascii="SimSun" w:hAnsi="SimSun" w:eastAsia="SimSun"/>
          <w:sz w:val="24"/>
        </w:rPr>
        <w:t>2026-08-11</w:t>
      </w:r>
    </w:p>
    <w:p>
      <w:r>
        <w:br w:type="page"/>
      </w:r>
    </w:p>
    <w:p>
      <w:pPr>
        <w:pStyle w:val="ManualTocTitle"/>
      </w:pPr>
      <w:r>
        <w:t>目录</w:t>
      </w:r>
    </w:p>
    <w:p>
      <w:pPr>
        <w:spacing w:before="120"/>
      </w:pPr>
      <w:r>
        <w:fldChar w:fldCharType="begin" w:dirty="true"/>
        <w:instrText xml:space="preserve"> TOC \o "1-3" \h \z \u </w:instrText>
        <w:fldChar w:fldCharType="separate"/>
        <w:t>右键并选择“更新域”，或运行目录刷新脚本。</w:t>
        <w:fldChar w:fldCharType="end"/>
      </w:r>
    </w:p>
    <w:p>
      <w:r>
        <w:br w:type="page"/>
      </w:r>
    </w:p>
    <w:p>
      <w:pPr>
        <w:pStyle w:val="Heading1"/>
        <w:keepNext/>
      </w:pPr>
      <w:r>
        <w:t>1 软件概述</w:t>
      </w:r>
    </w:p>
    <w:p>
      <w:pPr>
        <w:pStyle w:val="ManualLead"/>
      </w:pPr>
      <w:r>
        <w:t>帮助内部服务人员查看、筛选并处理脱敏工单记录。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项目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开发目的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帮助内部服务人员查看、筛选并处理脱敏工单记录。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目标用户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需要完成该项业务的内部工作人员与系统维护人员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面向领域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通用软件工具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软件版本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V1.0</w:t>
            </w:r>
          </w:p>
        </w:tc>
      </w:tr>
    </w:tbl>
    <w:p>
      <w:pPr>
        <w:spacing w:after="20"/>
      </w:pPr>
    </w:p>
    <w:p>
      <w:r>
        <w:t>软件围绕帮助内部服务人员查看、筛选并处理脱敏工单记录。提供统一入口。使用者可从浏览器首页的‘工单列表’菜单进入，查看筛选区、工单表格、状态列和详情按钮，按照明确步骤完成输入、执行与结果核验。系统对必填项、输入路径和操作状态进行校验；成功时给出可见反馈，失败时保留原因并允许修正后重试。操作记录使用脱敏标识，演示数据不包含真实个人信息。该演示只描述源码与截图中能够核验的能力，用于展示申请材料如何保持表单、手册、截图与代码一致。</w:t>
      </w:r>
    </w:p>
    <w:p>
      <w:r>
        <w:br w:type="page"/>
      </w:r>
    </w:p>
    <w:p>
      <w:pPr>
        <w:pStyle w:val="Heading1"/>
        <w:keepNext/>
      </w:pPr>
      <w:r>
        <w:t>2 运行环境与启动</w:t>
      </w:r>
    </w:p>
    <w:p>
      <w:pPr>
        <w:pStyle w:val="ManualLead"/>
      </w:pPr>
      <w:r>
        <w:t>说明使用软件前需要具备的环境和启动方式。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项目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运行平台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Web管理系统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支撑环境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具备文件读写权限的常规计算机环境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启动方式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按照项目README中的启动入口运行，看到主界面或命令帮助即表示启动成功。</w:t>
            </w:r>
          </w:p>
        </w:tc>
      </w:tr>
    </w:tbl>
    <w:p>
      <w:pPr>
        <w:spacing w:after="20"/>
      </w:pPr>
    </w:p>
    <w:p>
      <w:r>
        <w:t>主要操作区域包括筛选区、工单表格、状态列和详情按钮。</w:t>
      </w:r>
    </w:p>
    <w:p>
      <w:r>
        <w:br w:type="page"/>
      </w:r>
    </w:p>
    <w:p>
      <w:pPr>
        <w:pStyle w:val="Heading1"/>
        <w:keepNext/>
      </w:pPr>
      <w:r>
        <w:t>3 主要操作流程</w:t>
      </w:r>
    </w:p>
    <w:p>
      <w:pPr>
        <w:pStyle w:val="ManualLead"/>
      </w:pPr>
      <w:r>
        <w:t>进入功能、提供输入、执行处理、查看结果、按提示修正异常。</w:t>
      </w:r>
    </w:p>
    <w:p>
      <w:r>
        <w:br w:type="page"/>
      </w:r>
    </w:p>
    <w:p>
      <w:pPr>
        <w:pStyle w:val="Heading1"/>
        <w:keepNext/>
      </w:pPr>
      <w:r>
        <w:t>4 核心处理</w:t>
      </w:r>
    </w:p>
    <w:p>
      <w:pPr>
        <w:pStyle w:val="ManualLead"/>
      </w:pPr>
      <w:r>
        <w:t>帮助内部服务人员查看、筛选并处理脱敏工单记录。</w:t>
      </w:r>
    </w:p>
    <w:p>
      <w:r>
        <w:t>帮助内部服务人员查看、筛选并处理脱敏工单记录。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操作要素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适用用户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内部工作人员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进入位置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浏览器首页的‘工单列表’菜单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页面内容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筛选区、工单表格、状态列和详情按钮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使用限制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只使用脱敏演示数据；输入必须满足界面或命令提示</w:t>
            </w:r>
          </w:p>
        </w:tc>
      </w:tr>
    </w:tbl>
    <w:p>
      <w:pPr>
        <w:spacing w:after="20"/>
      </w:pPr>
    </w:p>
    <w:p>
      <w:pPr>
        <w:pStyle w:val="ListNumber"/>
      </w:pPr>
      <w:r>
        <w:t>打开工单列表并等待表格加载</w:t>
      </w:r>
    </w:p>
    <w:p>
      <w:pPr>
        <w:pStyle w:val="ListNumber"/>
      </w:pPr>
      <w:r>
        <w:t>输入脱敏关键字并执行查询</w:t>
      </w:r>
    </w:p>
    <w:p>
      <w:pPr>
        <w:pStyle w:val="ListNumber"/>
      </w:pPr>
      <w:r>
        <w:t>打开目标工单详情</w:t>
      </w:r>
    </w:p>
    <w:p>
      <w:pPr>
        <w:pStyle w:val="ListNumber"/>
      </w:pPr>
      <w:r>
        <w:t>更新处理状态并保存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2F2F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SimHei" w:hAnsi="SimHei" w:eastAsia="SimHei"/>
                <w:b/>
                <w:color w:val="333333"/>
              </w:rPr>
              <w:t xml:space="preserve">操作结果  </w:t>
            </w:r>
            <w:r>
              <w:rPr>
                <w:rFonts w:ascii="SimSun" w:hAnsi="SimSun" w:eastAsia="SimSun"/>
              </w:rPr>
              <w:t>页面显示保存成功提示，状态列同步为新的处理状态。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2F2F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SimHei" w:hAnsi="SimHei" w:eastAsia="SimHei"/>
                <w:b/>
                <w:color w:val="333333"/>
              </w:rPr>
              <w:t xml:space="preserve">异常与输入提示  </w:t>
            </w:r>
            <w:r>
              <w:rPr>
                <w:rFonts w:ascii="SimSun" w:hAnsi="SimSun" w:eastAsia="SimSun"/>
              </w:rPr>
              <w:t>必填内容为空时页面在对应输入框旁显示校验提示，保存操作不会提交。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user-shot-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  核心处理</w:t>
      </w:r>
    </w:p>
    <w:p>
      <w:r>
        <w:br w:type="page"/>
      </w:r>
    </w:p>
    <w:p>
      <w:pPr>
        <w:pStyle w:val="Heading1"/>
        <w:keepNext/>
      </w:pPr>
      <w:r>
        <w:t>5 常见问题</w:t>
      </w:r>
    </w:p>
    <w:p>
      <w:pPr>
        <w:pStyle w:val="ManualLead"/>
      </w:pPr>
      <w:r>
        <w:t>以下问题来自实际操作中的常见判断点。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问题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处理方法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操作失败后如何处理？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必填内容为空时页面在对应输入框旁显示校验提示，保存操作不会提交。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 术语说明</w:t>
      </w:r>
    </w:p>
    <w:p>
      <w:pPr>
        <w:pStyle w:val="ManualLead"/>
      </w:pPr>
      <w:r>
        <w:t>统一手册中的界面和状态名称。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术语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脱敏数据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不包含可识别真实个人或组织的信息。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66666"/>
        <w:sz w:val="18"/>
      </w:rPr>
      <w:t xml:space="preserve">第 </w:t>
    </w:r>
    <w:r>
      <w:fldChar w:fldCharType="begin" w:dirty="true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40"/>
      <w:pBdr>
        <w:bottom w:val="single" w:sz="4" w:space="2" w:color="A6A6A6"/>
      </w:pBdr>
    </w:pPr>
    <w:r>
      <w:rPr>
        <w:rFonts w:ascii="SimSun" w:hAnsi="SimSun" w:eastAsia="SimSun"/>
        <w:color w:val="666666"/>
        <w:sz w:val="18"/>
      </w:rPr>
      <w:t>演示工单协同管理系统</w:t>
    </w:r>
    <w:r>
      <w:rPr>
        <w:rFonts w:ascii="Times New Roman" w:hAnsi="Times New Roman" w:eastAsia="Times New Roman"/>
        <w:color w:val="666666"/>
        <w:sz w:val="18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</w:pPr>
    <w:rPr>
      <w:rFonts w:ascii="SimSun" w:hAnsi="SimSu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Eyebrow">
    <w:name w:val="Manual Eyebrow"/>
    <w:basedOn w:val="Normal"/>
    <w:rPr>
      <w:rFonts w:ascii="Times New Roman" w:hAnsi="Times New Roman" w:eastAsia="Times New Roman"/>
      <w:b/>
      <w:color w:val="333333"/>
      <w:sz w:val="18"/>
    </w:rPr>
  </w:style>
  <w:style w:type="paragraph" w:customStyle="1" w:styleId="ManualLead">
    <w:name w:val="Manual Lead"/>
    <w:basedOn w:val="Normal"/>
    <w:pPr>
      <w:spacing w:after="120" w:line="360" w:lineRule="auto"/>
    </w:pPr>
    <w:rPr>
      <w:rFonts w:ascii="SimSun" w:hAnsi="SimSun" w:eastAsia="SimSun"/>
      <w:b w:val="0"/>
      <w:color w:val="000000"/>
      <w:sz w:val="24"/>
    </w:rPr>
  </w:style>
  <w:style w:type="paragraph" w:customStyle="1" w:styleId="ManualCaption">
    <w:name w:val="Manual Caption"/>
    <w:basedOn w:val="Normal"/>
    <w:pPr>
      <w:spacing w:before="60" w:after="120"/>
      <w:jc w:val="center"/>
    </w:pPr>
    <w:rPr>
      <w:rFonts w:ascii="SimSun" w:hAnsi="SimSun" w:eastAsia="SimSun"/>
      <w:b w:val="0"/>
      <w:color w:val="000000"/>
      <w:sz w:val="21"/>
    </w:rPr>
  </w:style>
  <w:style w:type="paragraph" w:customStyle="1" w:styleId="EvidenceLine">
    <w:name w:val="Evidence Line"/>
    <w:basedOn w:val="Normal"/>
    <w:pPr>
      <w:spacing w:before="80"/>
    </w:pPr>
    <w:rPr>
      <w:rFonts w:ascii="Courier New" w:hAnsi="Courier New" w:eastAsia="Courier New"/>
      <w:b w:val="0"/>
      <w:color w:val="333333"/>
      <w:sz w:val="18"/>
    </w:rPr>
  </w:style>
  <w:style w:type="paragraph" w:customStyle="1" w:styleId="ManualTocTitle">
    <w:name w:val="Manual Toc Title"/>
    <w:basedOn w:val="Normal"/>
    <w:pPr>
      <w:spacing w:before="160" w:after="160"/>
      <w:jc w:val="center"/>
    </w:pPr>
    <w:rPr>
      <w:rFonts w:ascii="SimHei" w:hAnsi="SimHei" w:eastAsia="SimHei"/>
      <w:b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脱敏工单协同管理系统操作手册</dc:title>
  <dc:subject>软件著作权鉴别材料</dc:subject>
  <dc:creator>演示软件研究中心</dc:creator>
  <cp:keywords/>
  <dc:description>theme=standard-filing-gray; edition=正式版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