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clara-nfasis11"/>
        <w:tblW w:w="0" w:type="auto"/>
        <w:tblLook w:val="04A0"/>
      </w:tblPr>
      <w:tblGrid>
        <w:gridCol w:w="4714"/>
        <w:gridCol w:w="4715"/>
        <w:gridCol w:w="4715"/>
      </w:tblGrid>
      <w:tr w:rsidR="00C83325" w:rsidTr="00C83325">
        <w:trPr>
          <w:cnfStyle w:val="100000000000"/>
        </w:trPr>
        <w:tc>
          <w:tcPr>
            <w:cnfStyle w:val="001000000000"/>
            <w:tcW w:w="4714" w:type="dxa"/>
          </w:tcPr>
          <w:p w:rsidR="00C83325" w:rsidRPr="00C83325" w:rsidRDefault="00C83325" w:rsidP="00C83325">
            <w:pPr>
              <w:jc w:val="center"/>
              <w:rPr>
                <w:rFonts w:ascii="Times New Roman" w:hAnsi="Times New Roman" w:cs="Times New Roman"/>
              </w:rPr>
            </w:pPr>
            <w:r w:rsidRPr="00C83325">
              <w:rPr>
                <w:rFonts w:ascii="Times New Roman" w:hAnsi="Times New Roman" w:cs="Times New Roman"/>
              </w:rPr>
              <w:t>RECURSO DE ALZADA</w:t>
            </w:r>
          </w:p>
        </w:tc>
        <w:tc>
          <w:tcPr>
            <w:tcW w:w="4715" w:type="dxa"/>
          </w:tcPr>
          <w:p w:rsidR="00C83325" w:rsidRDefault="00C83325">
            <w:pPr>
              <w:cnfStyle w:val="100000000000"/>
            </w:pPr>
            <w:r>
              <w:t xml:space="preserve">RECURSO POTESTATIVO DE REPOSICIÓN </w:t>
            </w:r>
          </w:p>
        </w:tc>
        <w:tc>
          <w:tcPr>
            <w:tcW w:w="4715" w:type="dxa"/>
          </w:tcPr>
          <w:p w:rsidR="00C83325" w:rsidRDefault="000A129D">
            <w:pPr>
              <w:cnfStyle w:val="100000000000"/>
            </w:pPr>
            <w:r>
              <w:t>RECURSO EXTRAORDINARIO DE REVISIÓN</w:t>
            </w:r>
          </w:p>
        </w:tc>
      </w:tr>
      <w:tr w:rsidR="00C83325" w:rsidTr="00C83325">
        <w:trPr>
          <w:cnfStyle w:val="000000100000"/>
        </w:trPr>
        <w:tc>
          <w:tcPr>
            <w:cnfStyle w:val="001000000000"/>
            <w:tcW w:w="4714" w:type="dxa"/>
          </w:tcPr>
          <w:p w:rsidR="00C83325" w:rsidRPr="00C83325" w:rsidRDefault="00C83325">
            <w:pPr>
              <w:rPr>
                <w:b w:val="0"/>
              </w:rPr>
            </w:pPr>
            <w:r w:rsidRPr="00C83325">
              <w:rPr>
                <w:b w:val="0"/>
              </w:rPr>
              <w:t xml:space="preserve">Contra resoluciones y actos que no pongan fin a la vía administrativa. </w:t>
            </w:r>
          </w:p>
        </w:tc>
        <w:tc>
          <w:tcPr>
            <w:tcW w:w="4715" w:type="dxa"/>
          </w:tcPr>
          <w:p w:rsidR="00C83325" w:rsidRDefault="00543C0E">
            <w:pPr>
              <w:cnfStyle w:val="000000100000"/>
            </w:pPr>
            <w:r>
              <w:t>Actos administrativos que pongan fin a la vía administrativa, es decir, los dictados por Órganos de carácter superior. (Potestativo, previo a la impugnación directamente ante el Orden Jurisdiccional Contencioso-Administrativo).</w:t>
            </w:r>
          </w:p>
        </w:tc>
        <w:tc>
          <w:tcPr>
            <w:tcW w:w="4715" w:type="dxa"/>
          </w:tcPr>
          <w:p w:rsidR="00C83325" w:rsidRDefault="000A129D">
            <w:pPr>
              <w:cnfStyle w:val="000000100000"/>
            </w:pPr>
            <w:r>
              <w:t>Actos firmes en vía administrativa cuando concurra alguna de las circunstnacias contempladas en el artículo 125.1 LPAC-AP.</w:t>
            </w:r>
          </w:p>
        </w:tc>
      </w:tr>
      <w:tr w:rsidR="00C83325" w:rsidTr="00C83325">
        <w:trPr>
          <w:cnfStyle w:val="000000010000"/>
        </w:trPr>
        <w:tc>
          <w:tcPr>
            <w:cnfStyle w:val="001000000000"/>
            <w:tcW w:w="4714" w:type="dxa"/>
          </w:tcPr>
          <w:p w:rsidR="00F30111" w:rsidRDefault="00C83325" w:rsidP="00F30111">
            <w:pPr>
              <w:pStyle w:val="Prrafodelista"/>
              <w:numPr>
                <w:ilvl w:val="0"/>
                <w:numId w:val="3"/>
              </w:numPr>
              <w:rPr>
                <w:b w:val="0"/>
              </w:rPr>
            </w:pPr>
            <w:r w:rsidRPr="00F30111">
              <w:rPr>
                <w:b w:val="0"/>
              </w:rPr>
              <w:t xml:space="preserve">Ante el órgano que lo dicto (10 días para remitirlo al superior) </w:t>
            </w:r>
          </w:p>
          <w:p w:rsidR="00C83325" w:rsidRPr="00F30111" w:rsidRDefault="00F30111" w:rsidP="00F30111">
            <w:pPr>
              <w:pStyle w:val="Prrafodelista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Ante el órgano</w:t>
            </w:r>
            <w:r w:rsidR="00C83325" w:rsidRPr="00F30111">
              <w:rPr>
                <w:b w:val="0"/>
              </w:rPr>
              <w:t xml:space="preserve"> competente para resolverlo (que es el superior jerárquico del que dictó el acto).</w:t>
            </w:r>
          </w:p>
        </w:tc>
        <w:tc>
          <w:tcPr>
            <w:tcW w:w="4715" w:type="dxa"/>
          </w:tcPr>
          <w:p w:rsidR="00C83325" w:rsidRDefault="000A129D" w:rsidP="000A129D">
            <w:pPr>
              <w:pStyle w:val="Prrafodelista"/>
              <w:numPr>
                <w:ilvl w:val="0"/>
                <w:numId w:val="3"/>
              </w:numPr>
              <w:cnfStyle w:val="000000010000"/>
            </w:pPr>
            <w:r>
              <w:t>Ante mismo Órgano administrativo que hubiera dictado el acto.</w:t>
            </w:r>
          </w:p>
        </w:tc>
        <w:tc>
          <w:tcPr>
            <w:tcW w:w="4715" w:type="dxa"/>
          </w:tcPr>
          <w:p w:rsidR="00C83325" w:rsidRDefault="000A129D" w:rsidP="000A129D">
            <w:pPr>
              <w:pStyle w:val="Prrafodelista"/>
              <w:numPr>
                <w:ilvl w:val="0"/>
                <w:numId w:val="3"/>
              </w:numPr>
              <w:cnfStyle w:val="000000010000"/>
            </w:pPr>
            <w:r>
              <w:t xml:space="preserve">Ante el mismo Órgano administrativo que dictó los Actos recurridos. </w:t>
            </w:r>
          </w:p>
        </w:tc>
      </w:tr>
      <w:tr w:rsidR="00C83325" w:rsidTr="00C83325">
        <w:trPr>
          <w:cnfStyle w:val="000000100000"/>
        </w:trPr>
        <w:tc>
          <w:tcPr>
            <w:cnfStyle w:val="001000000000"/>
            <w:tcW w:w="4714" w:type="dxa"/>
          </w:tcPr>
          <w:p w:rsidR="00C83325" w:rsidRDefault="00C83325">
            <w:pPr>
              <w:rPr>
                <w:b w:val="0"/>
              </w:rPr>
            </w:pPr>
            <w:r w:rsidRPr="00C83325">
              <w:rPr>
                <w:b w:val="0"/>
                <w:u w:val="single"/>
              </w:rPr>
              <w:t>Plazo de interposición</w:t>
            </w:r>
            <w:r>
              <w:rPr>
                <w:b w:val="0"/>
              </w:rPr>
              <w:t xml:space="preserve">: </w:t>
            </w:r>
          </w:p>
          <w:p w:rsidR="00C83325" w:rsidRDefault="00C83325" w:rsidP="00C83325">
            <w:pPr>
              <w:pStyle w:val="Prrafodelista"/>
              <w:numPr>
                <w:ilvl w:val="0"/>
                <w:numId w:val="2"/>
              </w:numPr>
            </w:pPr>
            <w:r w:rsidRPr="00C83325">
              <w:t xml:space="preserve">Acto expreso: </w:t>
            </w:r>
            <w:r w:rsidRPr="00C83325">
              <w:rPr>
                <w:b w:val="0"/>
              </w:rPr>
              <w:t>1 mes</w:t>
            </w:r>
            <w:r w:rsidRPr="00C83325">
              <w:t xml:space="preserve"> </w:t>
            </w:r>
          </w:p>
          <w:p w:rsidR="00C83325" w:rsidRPr="00C83325" w:rsidRDefault="00C83325" w:rsidP="00C83325">
            <w:pPr>
              <w:pStyle w:val="Prrafodelista"/>
              <w:numPr>
                <w:ilvl w:val="0"/>
                <w:numId w:val="2"/>
              </w:numPr>
            </w:pPr>
            <w:r w:rsidRPr="00C83325">
              <w:t xml:space="preserve">Acto no expreso: </w:t>
            </w:r>
            <w:r w:rsidRPr="00C83325">
              <w:rPr>
                <w:b w:val="0"/>
              </w:rPr>
              <w:t>En cualquier momento, una vez producidos los efectos del silencio administrativo.</w:t>
            </w:r>
          </w:p>
        </w:tc>
        <w:tc>
          <w:tcPr>
            <w:tcW w:w="4715" w:type="dxa"/>
          </w:tcPr>
          <w:p w:rsidR="00C83325" w:rsidRDefault="000A129D">
            <w:pPr>
              <w:cnfStyle w:val="000000100000"/>
            </w:pPr>
            <w:r w:rsidRPr="000A129D">
              <w:rPr>
                <w:u w:val="single"/>
              </w:rPr>
              <w:t>Plazo de interposición</w:t>
            </w:r>
            <w:r>
              <w:t xml:space="preserve">: </w:t>
            </w:r>
          </w:p>
          <w:p w:rsidR="000A129D" w:rsidRDefault="000A129D" w:rsidP="000A129D">
            <w:pPr>
              <w:pStyle w:val="Prrafodelista"/>
              <w:numPr>
                <w:ilvl w:val="0"/>
                <w:numId w:val="2"/>
              </w:numPr>
              <w:cnfStyle w:val="000000100000"/>
            </w:pPr>
            <w:r>
              <w:t>Acto expreso: 1 mes.</w:t>
            </w:r>
          </w:p>
          <w:p w:rsidR="000A129D" w:rsidRDefault="000A129D" w:rsidP="000A129D">
            <w:pPr>
              <w:pStyle w:val="Prrafodelista"/>
              <w:numPr>
                <w:ilvl w:val="0"/>
                <w:numId w:val="2"/>
              </w:numPr>
              <w:cnfStyle w:val="000000100000"/>
            </w:pPr>
            <w:r>
              <w:t>Acto no expreso: en cualquier momento, una vez se produzca el acto presunto.</w:t>
            </w:r>
          </w:p>
        </w:tc>
        <w:tc>
          <w:tcPr>
            <w:tcW w:w="4715" w:type="dxa"/>
          </w:tcPr>
          <w:p w:rsidR="00C83325" w:rsidRPr="000A129D" w:rsidRDefault="000A129D">
            <w:pPr>
              <w:cnfStyle w:val="000000100000"/>
              <w:rPr>
                <w:u w:val="single"/>
              </w:rPr>
            </w:pPr>
            <w:r w:rsidRPr="000A129D">
              <w:rPr>
                <w:u w:val="single"/>
              </w:rPr>
              <w:t>Plazo de interposición:</w:t>
            </w:r>
          </w:p>
          <w:p w:rsidR="000A129D" w:rsidRDefault="000A129D" w:rsidP="000A129D">
            <w:pPr>
              <w:pStyle w:val="Prrafodelista"/>
              <w:numPr>
                <w:ilvl w:val="0"/>
                <w:numId w:val="2"/>
              </w:numPr>
              <w:cnfStyle w:val="000000100000"/>
            </w:pPr>
            <w:r w:rsidRPr="000A129D">
              <w:rPr>
                <w:b/>
              </w:rPr>
              <w:t>Por causa de “error de hecho”:</w:t>
            </w:r>
            <w:r>
              <w:t xml:space="preserve"> 4 años siguientes a la fecha de la notificación de la Resolución impugnada. </w:t>
            </w:r>
          </w:p>
          <w:p w:rsidR="000A129D" w:rsidRDefault="000A129D" w:rsidP="000A129D">
            <w:pPr>
              <w:pStyle w:val="Prrafodelista"/>
              <w:numPr>
                <w:ilvl w:val="0"/>
                <w:numId w:val="2"/>
              </w:numPr>
              <w:cnfStyle w:val="000000100000"/>
            </w:pPr>
            <w:r w:rsidRPr="000A129D">
              <w:rPr>
                <w:b/>
              </w:rPr>
              <w:t>Resto de causas</w:t>
            </w:r>
            <w:r>
              <w:rPr>
                <w:b/>
              </w:rPr>
              <w:t>:</w:t>
            </w:r>
            <w:r>
              <w:t xml:space="preserve"> 3 meses. </w:t>
            </w:r>
          </w:p>
          <w:p w:rsidR="000A129D" w:rsidRDefault="000A129D" w:rsidP="000A129D">
            <w:pPr>
              <w:cnfStyle w:val="000000100000"/>
            </w:pPr>
            <w:r>
              <w:t>(a contar desde el conocimiento de los documentos o desde que la sentencia judicial quedó firme)</w:t>
            </w:r>
          </w:p>
        </w:tc>
      </w:tr>
      <w:tr w:rsidR="00C83325" w:rsidTr="00C83325">
        <w:trPr>
          <w:cnfStyle w:val="000000010000"/>
        </w:trPr>
        <w:tc>
          <w:tcPr>
            <w:cnfStyle w:val="001000000000"/>
            <w:tcW w:w="4714" w:type="dxa"/>
          </w:tcPr>
          <w:p w:rsidR="00F30111" w:rsidRPr="00C83325" w:rsidRDefault="00F30111">
            <w:pPr>
              <w:rPr>
                <w:b w:val="0"/>
              </w:rPr>
            </w:pPr>
            <w:r>
              <w:rPr>
                <w:b w:val="0"/>
              </w:rPr>
              <w:t xml:space="preserve">Plazo para resolver: 3 meses. </w:t>
            </w:r>
          </w:p>
        </w:tc>
        <w:tc>
          <w:tcPr>
            <w:tcW w:w="4715" w:type="dxa"/>
          </w:tcPr>
          <w:p w:rsidR="00C83325" w:rsidRDefault="000A129D">
            <w:pPr>
              <w:cnfStyle w:val="000000010000"/>
            </w:pPr>
            <w:r>
              <w:t>Plazo para resolver: 1 mes</w:t>
            </w:r>
          </w:p>
        </w:tc>
        <w:tc>
          <w:tcPr>
            <w:tcW w:w="4715" w:type="dxa"/>
          </w:tcPr>
          <w:p w:rsidR="00C83325" w:rsidRDefault="000A129D">
            <w:pPr>
              <w:cnfStyle w:val="000000010000"/>
            </w:pPr>
            <w:r>
              <w:t>Plazo para resolver: 3 meses</w:t>
            </w:r>
          </w:p>
        </w:tc>
      </w:tr>
      <w:tr w:rsidR="00C83325" w:rsidTr="00C83325">
        <w:trPr>
          <w:cnfStyle w:val="000000100000"/>
        </w:trPr>
        <w:tc>
          <w:tcPr>
            <w:cnfStyle w:val="001000000000"/>
            <w:tcW w:w="4714" w:type="dxa"/>
          </w:tcPr>
          <w:p w:rsidR="00F30111" w:rsidRPr="00C83325" w:rsidRDefault="00F30111">
            <w:pPr>
              <w:rPr>
                <w:b w:val="0"/>
              </w:rPr>
            </w:pPr>
            <w:r>
              <w:rPr>
                <w:b w:val="0"/>
              </w:rPr>
              <w:t xml:space="preserve">Resuelve el órgano superior jerárquico del que dictó el acto impugnado. </w:t>
            </w:r>
          </w:p>
        </w:tc>
        <w:tc>
          <w:tcPr>
            <w:tcW w:w="4715" w:type="dxa"/>
          </w:tcPr>
          <w:p w:rsidR="000A129D" w:rsidRDefault="000A129D">
            <w:pPr>
              <w:cnfStyle w:val="000000100000"/>
            </w:pPr>
            <w:r>
              <w:t xml:space="preserve">Resuelve mismo Órgano administrativo que hubiera dictado el acto recurrido. </w:t>
            </w:r>
          </w:p>
        </w:tc>
        <w:tc>
          <w:tcPr>
            <w:tcW w:w="4715" w:type="dxa"/>
          </w:tcPr>
          <w:p w:rsidR="00C83325" w:rsidRDefault="000A129D">
            <w:pPr>
              <w:cnfStyle w:val="000000100000"/>
            </w:pPr>
            <w:r>
              <w:t xml:space="preserve">Resuelve mismo Órgano administrativo que dicto los actos recurridos. </w:t>
            </w:r>
          </w:p>
        </w:tc>
      </w:tr>
      <w:tr w:rsidR="00C83325" w:rsidTr="00C83325">
        <w:trPr>
          <w:cnfStyle w:val="000000010000"/>
        </w:trPr>
        <w:tc>
          <w:tcPr>
            <w:cnfStyle w:val="001000000000"/>
            <w:tcW w:w="4714" w:type="dxa"/>
          </w:tcPr>
          <w:p w:rsidR="00C83325" w:rsidRPr="00F30111" w:rsidRDefault="00F30111">
            <w:pPr>
              <w:rPr>
                <w:b w:val="0"/>
              </w:rPr>
            </w:pPr>
            <w:r w:rsidRPr="00F30111">
              <w:rPr>
                <w:b w:val="0"/>
              </w:rPr>
              <w:t xml:space="preserve">Transcurrido el plazo para </w:t>
            </w:r>
            <w:r>
              <w:rPr>
                <w:b w:val="0"/>
              </w:rPr>
              <w:t>resolver sin haberse producido r</w:t>
            </w:r>
            <w:r w:rsidRPr="00F30111">
              <w:rPr>
                <w:b w:val="0"/>
              </w:rPr>
              <w:t>esolución, se podrá entender desestimado el Recurso (silencio negativo), salvo el supuesto previsto en el Art. 24.1 tercer párrafo LPAC-AP (interpuesto contra la desestimación por silencio administrativo de una solicitud por el transcurso del plazo, silencio positivo).</w:t>
            </w:r>
          </w:p>
        </w:tc>
        <w:tc>
          <w:tcPr>
            <w:tcW w:w="4715" w:type="dxa"/>
          </w:tcPr>
          <w:p w:rsidR="00C83325" w:rsidRDefault="000A129D">
            <w:pPr>
              <w:cnfStyle w:val="000000010000"/>
            </w:pPr>
            <w:r>
              <w:t>No se podrá interponer Recurso C-A hasta que sea resuelto expresamente o se haya producido la desestimación presunta del Recurso de Reposición interpuesto.</w:t>
            </w:r>
          </w:p>
        </w:tc>
        <w:tc>
          <w:tcPr>
            <w:tcW w:w="4715" w:type="dxa"/>
          </w:tcPr>
          <w:p w:rsidR="00C83325" w:rsidRDefault="000A129D">
            <w:pPr>
              <w:cnfStyle w:val="000000010000"/>
            </w:pPr>
            <w:r>
              <w:t xml:space="preserve">Es un recurso extraordinario, ya que los motivos por los que se puede interponer están rigurosamente tasados. </w:t>
            </w:r>
          </w:p>
          <w:p w:rsidR="000A129D" w:rsidRDefault="000A129D">
            <w:pPr>
              <w:cnfStyle w:val="000000010000"/>
            </w:pPr>
          </w:p>
        </w:tc>
      </w:tr>
      <w:tr w:rsidR="00C83325" w:rsidTr="00C83325">
        <w:trPr>
          <w:cnfStyle w:val="000000100000"/>
        </w:trPr>
        <w:tc>
          <w:tcPr>
            <w:cnfStyle w:val="001000000000"/>
            <w:tcW w:w="4714" w:type="dxa"/>
          </w:tcPr>
          <w:p w:rsidR="00C83325" w:rsidRPr="00C83325" w:rsidRDefault="00C83325">
            <w:pPr>
              <w:rPr>
                <w:b w:val="0"/>
              </w:rPr>
            </w:pPr>
            <w:r w:rsidRPr="00C83325">
              <w:rPr>
                <w:b w:val="0"/>
              </w:rPr>
              <w:t xml:space="preserve">Contra la resolución del recurso de alzada cabe </w:t>
            </w:r>
            <w:r w:rsidRPr="00C83325">
              <w:rPr>
                <w:b w:val="0"/>
              </w:rPr>
              <w:lastRenderedPageBreak/>
              <w:t>el Recurso Extraordinario de Revisión</w:t>
            </w:r>
          </w:p>
        </w:tc>
        <w:tc>
          <w:tcPr>
            <w:tcW w:w="4715" w:type="dxa"/>
          </w:tcPr>
          <w:p w:rsidR="00C83325" w:rsidRDefault="00C83325">
            <w:pPr>
              <w:cnfStyle w:val="000000100000"/>
            </w:pPr>
          </w:p>
        </w:tc>
        <w:tc>
          <w:tcPr>
            <w:tcW w:w="4715" w:type="dxa"/>
          </w:tcPr>
          <w:p w:rsidR="00C83325" w:rsidRDefault="00C83325">
            <w:pPr>
              <w:cnfStyle w:val="000000100000"/>
            </w:pPr>
          </w:p>
        </w:tc>
      </w:tr>
    </w:tbl>
    <w:p w:rsidR="00033EE4" w:rsidRDefault="00033EE4"/>
    <w:sectPr w:rsidR="00033EE4" w:rsidSect="00946BF2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19E" w:rsidRDefault="0072119E" w:rsidP="006C524A">
      <w:pPr>
        <w:spacing w:after="0" w:line="240" w:lineRule="auto"/>
      </w:pPr>
      <w:r>
        <w:separator/>
      </w:r>
    </w:p>
  </w:endnote>
  <w:endnote w:type="continuationSeparator" w:id="1">
    <w:p w:rsidR="0072119E" w:rsidRDefault="0072119E" w:rsidP="006C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19E" w:rsidRDefault="0072119E" w:rsidP="006C524A">
      <w:pPr>
        <w:spacing w:after="0" w:line="240" w:lineRule="auto"/>
      </w:pPr>
      <w:r>
        <w:separator/>
      </w:r>
    </w:p>
  </w:footnote>
  <w:footnote w:type="continuationSeparator" w:id="1">
    <w:p w:rsidR="0072119E" w:rsidRDefault="0072119E" w:rsidP="006C5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24A" w:rsidRDefault="006C524A">
    <w:pPr>
      <w:pStyle w:val="Encabezado"/>
    </w:pPr>
    <w:r w:rsidRPr="006C524A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-411618</wp:posOffset>
          </wp:positionH>
          <wp:positionV relativeFrom="paragraph">
            <wp:posOffset>-274651</wp:posOffset>
          </wp:positionV>
          <wp:extent cx="1237256" cy="397565"/>
          <wp:effectExtent l="19050" t="0" r="0" b="0"/>
          <wp:wrapSquare wrapText="bothSides"/>
          <wp:docPr id="2" name="0 Imagen" descr="cropped-logotransparente_3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ropped-logotransparente_300x10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0155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F7A4F"/>
    <w:multiLevelType w:val="hybridMultilevel"/>
    <w:tmpl w:val="D886056E"/>
    <w:lvl w:ilvl="0" w:tplc="1D325596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A4DE8"/>
    <w:multiLevelType w:val="hybridMultilevel"/>
    <w:tmpl w:val="2CDE95DC"/>
    <w:lvl w:ilvl="0" w:tplc="096A7998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544ADF"/>
    <w:multiLevelType w:val="hybridMultilevel"/>
    <w:tmpl w:val="919A6F10"/>
    <w:lvl w:ilvl="0" w:tplc="F042A27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6BF2"/>
    <w:rsid w:val="00033EE4"/>
    <w:rsid w:val="000A129D"/>
    <w:rsid w:val="001F3579"/>
    <w:rsid w:val="00252084"/>
    <w:rsid w:val="003A40EA"/>
    <w:rsid w:val="00533A56"/>
    <w:rsid w:val="00543C0E"/>
    <w:rsid w:val="006C524A"/>
    <w:rsid w:val="0072119E"/>
    <w:rsid w:val="00946BF2"/>
    <w:rsid w:val="00B24ECB"/>
    <w:rsid w:val="00C83325"/>
    <w:rsid w:val="00E323F7"/>
    <w:rsid w:val="00E644B1"/>
    <w:rsid w:val="00F30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E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46B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46BF2"/>
    <w:pPr>
      <w:ind w:left="720"/>
      <w:contextualSpacing/>
    </w:pPr>
  </w:style>
  <w:style w:type="paragraph" w:customStyle="1" w:styleId="parrafo">
    <w:name w:val="parrafo"/>
    <w:basedOn w:val="Normal"/>
    <w:rsid w:val="00946BF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Sombreadoclaro1">
    <w:name w:val="Sombreado claro1"/>
    <w:basedOn w:val="Tablanormal"/>
    <w:uiPriority w:val="60"/>
    <w:rsid w:val="00C833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C83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-nfasis2">
    <w:name w:val="Light Grid Accent 2"/>
    <w:basedOn w:val="Tablanormal"/>
    <w:uiPriority w:val="62"/>
    <w:rsid w:val="00C8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8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6C52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C524A"/>
  </w:style>
  <w:style w:type="paragraph" w:styleId="Piedepgina">
    <w:name w:val="footer"/>
    <w:basedOn w:val="Normal"/>
    <w:link w:val="PiedepginaCar"/>
    <w:uiPriority w:val="99"/>
    <w:semiHidden/>
    <w:unhideWhenUsed/>
    <w:rsid w:val="006C52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C52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2020-12-14T08:37:00Z</cp:lastPrinted>
  <dcterms:created xsi:type="dcterms:W3CDTF">2019-04-23T09:27:00Z</dcterms:created>
  <dcterms:modified xsi:type="dcterms:W3CDTF">2020-12-14T08:39:00Z</dcterms:modified>
</cp:coreProperties>
</file>