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5701" w:type="dxa"/>
        <w:tblCellMar>
          <w:top w:w="57" w:type="dxa"/>
          <w:bottom w:w="57" w:type="dxa"/>
        </w:tblCellMar>
        <w:tblLook w:val="04A0"/>
      </w:tblPr>
      <w:tblGrid>
        <w:gridCol w:w="2235"/>
        <w:gridCol w:w="11765"/>
        <w:gridCol w:w="1701"/>
      </w:tblGrid>
      <w:tr w:rsidR="00CB51A7" w:rsidTr="008920D6">
        <w:tc>
          <w:tcPr>
            <w:tcW w:w="15701" w:type="dxa"/>
            <w:gridSpan w:val="3"/>
            <w:shd w:val="clear" w:color="auto" w:fill="D99594" w:themeFill="accent2" w:themeFillTint="99"/>
          </w:tcPr>
          <w:p w:rsidR="00CB51A7" w:rsidRPr="00CB51A7" w:rsidRDefault="00CB51A7" w:rsidP="00CB51A7">
            <w:pPr>
              <w:jc w:val="center"/>
              <w:rPr>
                <w:rFonts w:ascii="Baskerville Old Face" w:hAnsi="Baskerville Old Face"/>
                <w:b/>
                <w:sz w:val="32"/>
              </w:rPr>
            </w:pPr>
            <w:bookmarkStart w:id="0" w:name="_GoBack"/>
            <w:bookmarkEnd w:id="0"/>
            <w:r w:rsidRPr="00CB51A7">
              <w:rPr>
                <w:rFonts w:ascii="Baskerville Old Face" w:hAnsi="Baskerville Old Face"/>
                <w:b/>
                <w:sz w:val="32"/>
              </w:rPr>
              <w:t>Plazos de la ley 39/2015</w:t>
            </w:r>
          </w:p>
        </w:tc>
      </w:tr>
      <w:tr w:rsidR="00CB51A7" w:rsidTr="008920D6">
        <w:trPr>
          <w:trHeight w:val="326"/>
        </w:trPr>
        <w:tc>
          <w:tcPr>
            <w:tcW w:w="2235" w:type="dxa"/>
            <w:shd w:val="clear" w:color="auto" w:fill="D99594" w:themeFill="accent2" w:themeFillTint="99"/>
          </w:tcPr>
          <w:p w:rsidR="00CB51A7" w:rsidRDefault="00CB51A7" w:rsidP="00CB51A7">
            <w:pPr>
              <w:jc w:val="center"/>
            </w:pPr>
            <w:r>
              <w:t>Plazo</w:t>
            </w:r>
          </w:p>
        </w:tc>
        <w:tc>
          <w:tcPr>
            <w:tcW w:w="11765" w:type="dxa"/>
            <w:shd w:val="clear" w:color="auto" w:fill="D99594" w:themeFill="accent2" w:themeFillTint="99"/>
          </w:tcPr>
          <w:p w:rsidR="00CB51A7" w:rsidRDefault="00CB51A7" w:rsidP="00CB51A7">
            <w:pPr>
              <w:jc w:val="center"/>
            </w:pPr>
            <w:r>
              <w:t>Contenido</w:t>
            </w:r>
          </w:p>
        </w:tc>
        <w:tc>
          <w:tcPr>
            <w:tcW w:w="1701" w:type="dxa"/>
            <w:shd w:val="clear" w:color="auto" w:fill="D99594" w:themeFill="accent2" w:themeFillTint="99"/>
          </w:tcPr>
          <w:p w:rsidR="00CB51A7" w:rsidRDefault="00CB51A7" w:rsidP="00CB51A7">
            <w:pPr>
              <w:jc w:val="center"/>
            </w:pPr>
            <w:r>
              <w:t>Artículo</w:t>
            </w:r>
          </w:p>
        </w:tc>
      </w:tr>
      <w:tr w:rsidR="00CB51A7" w:rsidTr="008920D6">
        <w:tc>
          <w:tcPr>
            <w:tcW w:w="2235" w:type="dxa"/>
            <w:vAlign w:val="center"/>
          </w:tcPr>
          <w:p w:rsidR="00CB51A7" w:rsidRPr="008920D6" w:rsidRDefault="00CB51A7" w:rsidP="008920D6">
            <w:pPr>
              <w:jc w:val="center"/>
              <w:rPr>
                <w:rFonts w:ascii="Bookman Old Style" w:hAnsi="Bookman Old Style"/>
                <w:b/>
                <w:color w:val="FFCC00"/>
              </w:rPr>
            </w:pPr>
            <w:r w:rsidRPr="008920D6">
              <w:rPr>
                <w:rFonts w:ascii="Bookman Old Style" w:hAnsi="Bookman Old Style"/>
                <w:b/>
                <w:color w:val="FFCC00"/>
                <w:sz w:val="48"/>
              </w:rPr>
              <w:t>3 DÍAS</w:t>
            </w:r>
          </w:p>
        </w:tc>
        <w:tc>
          <w:tcPr>
            <w:tcW w:w="11765" w:type="dxa"/>
            <w:vAlign w:val="center"/>
          </w:tcPr>
          <w:p w:rsidR="00CB51A7" w:rsidRPr="008920D6" w:rsidRDefault="00CB51A7" w:rsidP="008920D6">
            <w:pPr>
              <w:jc w:val="left"/>
              <w:rPr>
                <w:b/>
                <w:color w:val="FFCC00"/>
              </w:rPr>
            </w:pPr>
            <w:r w:rsidRPr="008920D6">
              <w:rPr>
                <w:b/>
                <w:color w:val="FFCC00"/>
              </w:rPr>
              <w:t>Segundo intento de notificación.</w:t>
            </w:r>
          </w:p>
        </w:tc>
        <w:tc>
          <w:tcPr>
            <w:tcW w:w="1701" w:type="dxa"/>
            <w:vAlign w:val="center"/>
          </w:tcPr>
          <w:p w:rsidR="00CB51A7" w:rsidRPr="008920D6" w:rsidRDefault="00CB51A7" w:rsidP="008920D6">
            <w:pPr>
              <w:jc w:val="center"/>
              <w:rPr>
                <w:color w:val="FFCC00"/>
              </w:rPr>
            </w:pPr>
            <w:r w:rsidRPr="008920D6">
              <w:rPr>
                <w:color w:val="FFCC00"/>
              </w:rPr>
              <w:t>Artículo 42.2</w:t>
            </w:r>
          </w:p>
        </w:tc>
      </w:tr>
      <w:tr w:rsidR="00CB51A7" w:rsidTr="008920D6">
        <w:trPr>
          <w:trHeight w:val="278"/>
        </w:trPr>
        <w:tc>
          <w:tcPr>
            <w:tcW w:w="2235" w:type="dxa"/>
            <w:vMerge w:val="restart"/>
            <w:vAlign w:val="center"/>
          </w:tcPr>
          <w:p w:rsidR="00CB51A7" w:rsidRPr="008920D6" w:rsidRDefault="00CB51A7" w:rsidP="008920D6">
            <w:pPr>
              <w:jc w:val="center"/>
              <w:rPr>
                <w:rFonts w:ascii="Bookman Old Style" w:hAnsi="Bookman Old Style"/>
                <w:b/>
                <w:color w:val="17365D" w:themeColor="text2" w:themeShade="BF"/>
              </w:rPr>
            </w:pPr>
            <w:r w:rsidRPr="008920D6">
              <w:rPr>
                <w:rFonts w:ascii="Bookman Old Style" w:hAnsi="Bookman Old Style"/>
                <w:b/>
                <w:color w:val="17365D" w:themeColor="text2" w:themeShade="BF"/>
                <w:sz w:val="48"/>
              </w:rPr>
              <w:t>5 DÍAS</w:t>
            </w:r>
          </w:p>
        </w:tc>
        <w:tc>
          <w:tcPr>
            <w:tcW w:w="11765" w:type="dxa"/>
            <w:vAlign w:val="center"/>
          </w:tcPr>
          <w:p w:rsidR="00CB51A7" w:rsidRPr="008920D6" w:rsidRDefault="00CB51A7" w:rsidP="008920D6">
            <w:pPr>
              <w:jc w:val="left"/>
              <w:rPr>
                <w:color w:val="17365D" w:themeColor="text2" w:themeShade="BF"/>
              </w:rPr>
            </w:pPr>
            <w:r w:rsidRPr="008920D6">
              <w:rPr>
                <w:color w:val="17365D" w:themeColor="text2" w:themeShade="BF"/>
              </w:rPr>
              <w:t>Desestimación solicitud tramitación simplificada del procedimiento</w:t>
            </w:r>
          </w:p>
        </w:tc>
        <w:tc>
          <w:tcPr>
            <w:tcW w:w="1701" w:type="dxa"/>
            <w:vAlign w:val="center"/>
          </w:tcPr>
          <w:p w:rsidR="00CB51A7" w:rsidRPr="008920D6" w:rsidRDefault="00CB51A7" w:rsidP="008920D6">
            <w:pPr>
              <w:jc w:val="center"/>
              <w:rPr>
                <w:color w:val="17365D" w:themeColor="text2" w:themeShade="BF"/>
              </w:rPr>
            </w:pPr>
            <w:r w:rsidRPr="008920D6">
              <w:rPr>
                <w:color w:val="17365D" w:themeColor="text2" w:themeShade="BF"/>
              </w:rPr>
              <w:t>Artículo 96.3</w:t>
            </w:r>
          </w:p>
        </w:tc>
      </w:tr>
      <w:tr w:rsidR="00CB51A7" w:rsidTr="008920D6">
        <w:trPr>
          <w:trHeight w:val="277"/>
        </w:trPr>
        <w:tc>
          <w:tcPr>
            <w:tcW w:w="2235" w:type="dxa"/>
            <w:vMerge/>
            <w:vAlign w:val="center"/>
          </w:tcPr>
          <w:p w:rsidR="00CB51A7" w:rsidRPr="008920D6" w:rsidRDefault="00CB51A7" w:rsidP="008920D6">
            <w:pPr>
              <w:jc w:val="center"/>
              <w:rPr>
                <w:rFonts w:ascii="Bookman Old Style" w:hAnsi="Bookman Old Style"/>
                <w:b/>
                <w:color w:val="17365D" w:themeColor="text2" w:themeShade="BF"/>
                <w:sz w:val="48"/>
              </w:rPr>
            </w:pPr>
          </w:p>
        </w:tc>
        <w:tc>
          <w:tcPr>
            <w:tcW w:w="11765" w:type="dxa"/>
            <w:vAlign w:val="center"/>
          </w:tcPr>
          <w:p w:rsidR="00CB51A7" w:rsidRPr="008920D6" w:rsidRDefault="00CB51A7" w:rsidP="008920D6">
            <w:pPr>
              <w:jc w:val="left"/>
              <w:rPr>
                <w:color w:val="17365D" w:themeColor="text2" w:themeShade="BF"/>
              </w:rPr>
            </w:pPr>
            <w:r w:rsidRPr="008920D6">
              <w:rPr>
                <w:color w:val="17365D" w:themeColor="text2" w:themeShade="BF"/>
              </w:rPr>
              <w:t>Alegaciones en los procedimientos administrativos simplificados.</w:t>
            </w:r>
          </w:p>
        </w:tc>
        <w:tc>
          <w:tcPr>
            <w:tcW w:w="1701" w:type="dxa"/>
            <w:vAlign w:val="center"/>
          </w:tcPr>
          <w:p w:rsidR="00CB51A7" w:rsidRPr="008920D6" w:rsidRDefault="00CB51A7" w:rsidP="008920D6">
            <w:pPr>
              <w:jc w:val="center"/>
              <w:rPr>
                <w:color w:val="17365D" w:themeColor="text2" w:themeShade="BF"/>
              </w:rPr>
            </w:pPr>
            <w:r w:rsidRPr="008920D6">
              <w:rPr>
                <w:color w:val="17365D" w:themeColor="text2" w:themeShade="BF"/>
              </w:rPr>
              <w:t>Artículo 96.6</w:t>
            </w:r>
          </w:p>
        </w:tc>
      </w:tr>
      <w:tr w:rsidR="00CB51A7" w:rsidTr="008920D6">
        <w:tc>
          <w:tcPr>
            <w:tcW w:w="2235" w:type="dxa"/>
            <w:vAlign w:val="center"/>
          </w:tcPr>
          <w:p w:rsidR="00CB51A7" w:rsidRPr="008920D6" w:rsidRDefault="00CB51A7" w:rsidP="008920D6">
            <w:pPr>
              <w:jc w:val="center"/>
              <w:rPr>
                <w:rFonts w:ascii="Bookman Old Style" w:hAnsi="Bookman Old Style"/>
                <w:b/>
                <w:color w:val="FF3399"/>
              </w:rPr>
            </w:pPr>
            <w:r w:rsidRPr="008920D6">
              <w:rPr>
                <w:rFonts w:ascii="Bookman Old Style" w:hAnsi="Bookman Old Style"/>
                <w:b/>
                <w:color w:val="FF3399"/>
                <w:sz w:val="48"/>
              </w:rPr>
              <w:t>7 DÍAS</w:t>
            </w:r>
          </w:p>
        </w:tc>
        <w:tc>
          <w:tcPr>
            <w:tcW w:w="11765" w:type="dxa"/>
            <w:vAlign w:val="center"/>
          </w:tcPr>
          <w:p w:rsidR="00CB51A7" w:rsidRPr="008920D6" w:rsidRDefault="00CB51A7" w:rsidP="008920D6">
            <w:pPr>
              <w:jc w:val="left"/>
              <w:rPr>
                <w:color w:val="FF3399"/>
              </w:rPr>
            </w:pPr>
            <w:r w:rsidRPr="008920D6">
              <w:rPr>
                <w:color w:val="FF3399"/>
              </w:rPr>
              <w:t>Alegaciones</w:t>
            </w:r>
            <w:r w:rsidR="00E32D60" w:rsidRPr="008920D6">
              <w:rPr>
                <w:color w:val="FF3399"/>
              </w:rPr>
              <w:t xml:space="preserve"> en actuaciones complementarias.</w:t>
            </w:r>
          </w:p>
        </w:tc>
        <w:tc>
          <w:tcPr>
            <w:tcW w:w="1701" w:type="dxa"/>
            <w:vAlign w:val="center"/>
          </w:tcPr>
          <w:p w:rsidR="00CB51A7" w:rsidRPr="008920D6" w:rsidRDefault="00CB51A7" w:rsidP="008920D6">
            <w:pPr>
              <w:jc w:val="center"/>
              <w:rPr>
                <w:color w:val="FF3399"/>
              </w:rPr>
            </w:pPr>
            <w:r w:rsidRPr="008920D6">
              <w:rPr>
                <w:color w:val="FF3399"/>
              </w:rPr>
              <w:t>Artículo 87</w:t>
            </w:r>
          </w:p>
        </w:tc>
      </w:tr>
      <w:tr w:rsidR="008920D6" w:rsidTr="008920D6">
        <w:trPr>
          <w:trHeight w:val="81"/>
        </w:trPr>
        <w:tc>
          <w:tcPr>
            <w:tcW w:w="2235" w:type="dxa"/>
            <w:vMerge w:val="restart"/>
            <w:vAlign w:val="center"/>
          </w:tcPr>
          <w:p w:rsidR="008920D6" w:rsidRPr="005475EC" w:rsidRDefault="008920D6" w:rsidP="008920D6">
            <w:pPr>
              <w:jc w:val="center"/>
              <w:rPr>
                <w:rFonts w:ascii="Bookman Old Style" w:hAnsi="Bookman Old Style"/>
                <w:color w:val="00B050"/>
              </w:rPr>
            </w:pPr>
            <w:r w:rsidRPr="005475EC">
              <w:rPr>
                <w:rFonts w:ascii="Bookman Old Style" w:hAnsi="Bookman Old Style"/>
                <w:b/>
                <w:color w:val="00B050"/>
                <w:sz w:val="48"/>
              </w:rPr>
              <w:t>10 DÍAS</w:t>
            </w:r>
          </w:p>
        </w:tc>
        <w:tc>
          <w:tcPr>
            <w:tcW w:w="11765" w:type="dxa"/>
            <w:vAlign w:val="center"/>
          </w:tcPr>
          <w:p w:rsidR="008920D6" w:rsidRPr="005475EC" w:rsidRDefault="008920D6" w:rsidP="008920D6">
            <w:pPr>
              <w:jc w:val="left"/>
              <w:rPr>
                <w:color w:val="00B050"/>
              </w:rPr>
            </w:pPr>
            <w:r w:rsidRPr="005475EC">
              <w:rPr>
                <w:color w:val="00B050"/>
              </w:rPr>
              <w:t>Plazo para la aportación o subsanación de representación</w:t>
            </w:r>
          </w:p>
        </w:tc>
        <w:tc>
          <w:tcPr>
            <w:tcW w:w="1701" w:type="dxa"/>
            <w:vAlign w:val="center"/>
          </w:tcPr>
          <w:p w:rsidR="008920D6" w:rsidRPr="005475EC" w:rsidRDefault="008920D6" w:rsidP="008920D6">
            <w:pPr>
              <w:jc w:val="center"/>
              <w:rPr>
                <w:color w:val="00B050"/>
              </w:rPr>
            </w:pPr>
            <w:r w:rsidRPr="005475EC">
              <w:rPr>
                <w:color w:val="00B050"/>
              </w:rPr>
              <w:t>Artículo 5.6</w:t>
            </w:r>
          </w:p>
        </w:tc>
      </w:tr>
      <w:tr w:rsidR="008920D6" w:rsidTr="008920D6">
        <w:trPr>
          <w:trHeight w:val="79"/>
        </w:trPr>
        <w:tc>
          <w:tcPr>
            <w:tcW w:w="2235" w:type="dxa"/>
            <w:vMerge/>
            <w:vAlign w:val="center"/>
          </w:tcPr>
          <w:p w:rsidR="008920D6" w:rsidRPr="005475EC" w:rsidRDefault="008920D6" w:rsidP="008920D6">
            <w:pPr>
              <w:jc w:val="left"/>
              <w:rPr>
                <w:rFonts w:ascii="Bookman Old Style" w:hAnsi="Bookman Old Style"/>
                <w:b/>
                <w:color w:val="00B050"/>
                <w:sz w:val="48"/>
              </w:rPr>
            </w:pPr>
          </w:p>
        </w:tc>
        <w:tc>
          <w:tcPr>
            <w:tcW w:w="11765" w:type="dxa"/>
            <w:vAlign w:val="center"/>
          </w:tcPr>
          <w:p w:rsidR="008920D6" w:rsidRPr="005475EC" w:rsidRDefault="008920D6" w:rsidP="008920D6">
            <w:pPr>
              <w:jc w:val="left"/>
              <w:rPr>
                <w:color w:val="00B050"/>
              </w:rPr>
            </w:pPr>
            <w:r w:rsidRPr="005475EC">
              <w:rPr>
                <w:color w:val="00B050"/>
              </w:rPr>
              <w:t>Comunicación al interesado del inicio del procedimiento</w:t>
            </w:r>
          </w:p>
        </w:tc>
        <w:tc>
          <w:tcPr>
            <w:tcW w:w="1701" w:type="dxa"/>
            <w:vAlign w:val="center"/>
          </w:tcPr>
          <w:p w:rsidR="008920D6" w:rsidRPr="005475EC" w:rsidRDefault="008920D6" w:rsidP="008920D6">
            <w:pPr>
              <w:jc w:val="center"/>
              <w:rPr>
                <w:color w:val="00B050"/>
              </w:rPr>
            </w:pPr>
            <w:r w:rsidRPr="005475EC">
              <w:rPr>
                <w:color w:val="00B050"/>
              </w:rPr>
              <w:t>Artículo 21.4</w:t>
            </w:r>
          </w:p>
        </w:tc>
      </w:tr>
      <w:tr w:rsidR="008920D6" w:rsidTr="008920D6">
        <w:trPr>
          <w:trHeight w:val="79"/>
        </w:trPr>
        <w:tc>
          <w:tcPr>
            <w:tcW w:w="2235" w:type="dxa"/>
            <w:vMerge/>
            <w:vAlign w:val="center"/>
          </w:tcPr>
          <w:p w:rsidR="008920D6" w:rsidRPr="005475EC" w:rsidRDefault="008920D6" w:rsidP="008920D6">
            <w:pPr>
              <w:jc w:val="left"/>
              <w:rPr>
                <w:rFonts w:ascii="Bookman Old Style" w:hAnsi="Bookman Old Style"/>
                <w:b/>
                <w:color w:val="00B050"/>
                <w:sz w:val="48"/>
              </w:rPr>
            </w:pPr>
          </w:p>
        </w:tc>
        <w:tc>
          <w:tcPr>
            <w:tcW w:w="11765" w:type="dxa"/>
            <w:vAlign w:val="center"/>
          </w:tcPr>
          <w:p w:rsidR="008920D6" w:rsidRPr="005475EC" w:rsidRDefault="008920D6" w:rsidP="008920D6">
            <w:pPr>
              <w:jc w:val="left"/>
              <w:rPr>
                <w:color w:val="00B050"/>
              </w:rPr>
            </w:pPr>
            <w:r w:rsidRPr="005475EC">
              <w:rPr>
                <w:color w:val="00B050"/>
              </w:rPr>
              <w:t>Remisión de informes preceptivos ya elaborados por órgano administrativo distinto al que tramita el procedimiento.</w:t>
            </w:r>
          </w:p>
        </w:tc>
        <w:tc>
          <w:tcPr>
            <w:tcW w:w="1701" w:type="dxa"/>
            <w:vAlign w:val="center"/>
          </w:tcPr>
          <w:p w:rsidR="008920D6" w:rsidRPr="005475EC" w:rsidRDefault="008920D6" w:rsidP="008920D6">
            <w:pPr>
              <w:jc w:val="center"/>
              <w:rPr>
                <w:color w:val="00B050"/>
              </w:rPr>
            </w:pPr>
            <w:r w:rsidRPr="005475EC">
              <w:rPr>
                <w:color w:val="00B050"/>
              </w:rPr>
              <w:t>Artículo 28.2</w:t>
            </w:r>
          </w:p>
        </w:tc>
      </w:tr>
      <w:tr w:rsidR="008920D6" w:rsidTr="008920D6">
        <w:trPr>
          <w:trHeight w:val="79"/>
        </w:trPr>
        <w:tc>
          <w:tcPr>
            <w:tcW w:w="2235" w:type="dxa"/>
            <w:vMerge/>
            <w:vAlign w:val="center"/>
          </w:tcPr>
          <w:p w:rsidR="008920D6" w:rsidRPr="005475EC" w:rsidRDefault="008920D6" w:rsidP="008920D6">
            <w:pPr>
              <w:jc w:val="left"/>
              <w:rPr>
                <w:rFonts w:ascii="Bookman Old Style" w:hAnsi="Bookman Old Style"/>
                <w:b/>
                <w:color w:val="00B050"/>
                <w:sz w:val="48"/>
              </w:rPr>
            </w:pPr>
          </w:p>
        </w:tc>
        <w:tc>
          <w:tcPr>
            <w:tcW w:w="11765" w:type="dxa"/>
            <w:vAlign w:val="center"/>
          </w:tcPr>
          <w:p w:rsidR="008920D6" w:rsidRPr="005475EC" w:rsidRDefault="008920D6" w:rsidP="008920D6">
            <w:pPr>
              <w:jc w:val="left"/>
              <w:rPr>
                <w:color w:val="00B050"/>
              </w:rPr>
            </w:pPr>
            <w:r w:rsidRPr="005475EC">
              <w:rPr>
                <w:color w:val="00B050"/>
              </w:rPr>
              <w:t>Plazo curso notificaciones</w:t>
            </w:r>
          </w:p>
        </w:tc>
        <w:tc>
          <w:tcPr>
            <w:tcW w:w="1701" w:type="dxa"/>
            <w:vAlign w:val="center"/>
          </w:tcPr>
          <w:p w:rsidR="008920D6" w:rsidRPr="005475EC" w:rsidRDefault="008920D6" w:rsidP="008920D6">
            <w:pPr>
              <w:jc w:val="center"/>
              <w:rPr>
                <w:color w:val="00B050"/>
              </w:rPr>
            </w:pPr>
            <w:r w:rsidRPr="005475EC">
              <w:rPr>
                <w:color w:val="00B050"/>
              </w:rPr>
              <w:t>Artículo 40.2</w:t>
            </w:r>
          </w:p>
        </w:tc>
      </w:tr>
      <w:tr w:rsidR="008920D6" w:rsidTr="008920D6">
        <w:trPr>
          <w:trHeight w:val="79"/>
        </w:trPr>
        <w:tc>
          <w:tcPr>
            <w:tcW w:w="2235" w:type="dxa"/>
            <w:vMerge/>
            <w:vAlign w:val="center"/>
          </w:tcPr>
          <w:p w:rsidR="008920D6" w:rsidRPr="005475EC" w:rsidRDefault="008920D6" w:rsidP="008920D6">
            <w:pPr>
              <w:jc w:val="left"/>
              <w:rPr>
                <w:rFonts w:ascii="Bookman Old Style" w:hAnsi="Bookman Old Style"/>
                <w:b/>
                <w:color w:val="00B050"/>
                <w:sz w:val="48"/>
              </w:rPr>
            </w:pPr>
          </w:p>
        </w:tc>
        <w:tc>
          <w:tcPr>
            <w:tcW w:w="11765" w:type="dxa"/>
            <w:vAlign w:val="center"/>
          </w:tcPr>
          <w:p w:rsidR="008920D6" w:rsidRPr="005475EC" w:rsidRDefault="008920D6" w:rsidP="008920D6">
            <w:pPr>
              <w:jc w:val="left"/>
              <w:rPr>
                <w:color w:val="00B050"/>
              </w:rPr>
            </w:pPr>
            <w:r w:rsidRPr="005475EC">
              <w:rPr>
                <w:color w:val="00B050"/>
              </w:rPr>
              <w:t>Plazo para entender rechazada la notificación (días naturales)</w:t>
            </w:r>
          </w:p>
        </w:tc>
        <w:tc>
          <w:tcPr>
            <w:tcW w:w="1701" w:type="dxa"/>
            <w:vAlign w:val="center"/>
          </w:tcPr>
          <w:p w:rsidR="008920D6" w:rsidRPr="005475EC" w:rsidRDefault="008920D6" w:rsidP="008920D6">
            <w:pPr>
              <w:jc w:val="center"/>
              <w:rPr>
                <w:color w:val="00B050"/>
              </w:rPr>
            </w:pPr>
            <w:r w:rsidRPr="005475EC">
              <w:rPr>
                <w:color w:val="00B050"/>
              </w:rPr>
              <w:t>Artículo 43.2</w:t>
            </w:r>
          </w:p>
        </w:tc>
      </w:tr>
      <w:tr w:rsidR="008920D6" w:rsidTr="008920D6">
        <w:trPr>
          <w:trHeight w:val="79"/>
        </w:trPr>
        <w:tc>
          <w:tcPr>
            <w:tcW w:w="2235" w:type="dxa"/>
            <w:vMerge/>
            <w:vAlign w:val="center"/>
          </w:tcPr>
          <w:p w:rsidR="008920D6" w:rsidRPr="005475EC" w:rsidRDefault="008920D6" w:rsidP="008920D6">
            <w:pPr>
              <w:jc w:val="left"/>
              <w:rPr>
                <w:rFonts w:ascii="Bookman Old Style" w:hAnsi="Bookman Old Style"/>
                <w:b/>
                <w:color w:val="00B050"/>
                <w:sz w:val="48"/>
              </w:rPr>
            </w:pPr>
          </w:p>
        </w:tc>
        <w:tc>
          <w:tcPr>
            <w:tcW w:w="11765" w:type="dxa"/>
            <w:vAlign w:val="center"/>
          </w:tcPr>
          <w:p w:rsidR="008920D6" w:rsidRPr="005475EC" w:rsidRDefault="008920D6" w:rsidP="008920D6">
            <w:pPr>
              <w:jc w:val="left"/>
              <w:rPr>
                <w:color w:val="00B050"/>
              </w:rPr>
            </w:pPr>
            <w:r w:rsidRPr="005475EC">
              <w:rPr>
                <w:color w:val="00B050"/>
              </w:rPr>
              <w:t>Notificación acuerdo de iniciación del procedimiento a los particulares presuntamente lesionados</w:t>
            </w:r>
          </w:p>
        </w:tc>
        <w:tc>
          <w:tcPr>
            <w:tcW w:w="1701" w:type="dxa"/>
            <w:vAlign w:val="center"/>
          </w:tcPr>
          <w:p w:rsidR="008920D6" w:rsidRPr="005475EC" w:rsidRDefault="008920D6" w:rsidP="008920D6">
            <w:pPr>
              <w:jc w:val="center"/>
              <w:rPr>
                <w:color w:val="00B050"/>
              </w:rPr>
            </w:pPr>
            <w:r w:rsidRPr="005475EC">
              <w:rPr>
                <w:color w:val="00B050"/>
              </w:rPr>
              <w:t>Artículo 65.2</w:t>
            </w:r>
          </w:p>
        </w:tc>
      </w:tr>
      <w:tr w:rsidR="008920D6" w:rsidTr="008920D6">
        <w:trPr>
          <w:trHeight w:val="54"/>
        </w:trPr>
        <w:tc>
          <w:tcPr>
            <w:tcW w:w="2235" w:type="dxa"/>
            <w:vMerge/>
            <w:vAlign w:val="center"/>
          </w:tcPr>
          <w:p w:rsidR="008920D6" w:rsidRPr="005475EC" w:rsidRDefault="008920D6" w:rsidP="008920D6">
            <w:pPr>
              <w:jc w:val="left"/>
              <w:rPr>
                <w:rFonts w:ascii="Bookman Old Style" w:hAnsi="Bookman Old Style"/>
                <w:b/>
                <w:color w:val="00B050"/>
                <w:sz w:val="48"/>
              </w:rPr>
            </w:pPr>
          </w:p>
        </w:tc>
        <w:tc>
          <w:tcPr>
            <w:tcW w:w="11765" w:type="dxa"/>
            <w:vAlign w:val="center"/>
          </w:tcPr>
          <w:p w:rsidR="008920D6" w:rsidRPr="005475EC" w:rsidRDefault="008920D6" w:rsidP="008920D6">
            <w:pPr>
              <w:jc w:val="left"/>
              <w:rPr>
                <w:color w:val="00B050"/>
              </w:rPr>
            </w:pPr>
            <w:r w:rsidRPr="005475EC">
              <w:rPr>
                <w:color w:val="00B050"/>
              </w:rPr>
              <w:t>Requerimiento al particular para subsanación de falta o acompañamiento de documentos preceptivos</w:t>
            </w:r>
            <w:r w:rsidR="00817C0D">
              <w:rPr>
                <w:color w:val="00B050"/>
              </w:rPr>
              <w:t xml:space="preserve"> (ampliable en 5 días)</w:t>
            </w:r>
          </w:p>
        </w:tc>
        <w:tc>
          <w:tcPr>
            <w:tcW w:w="1701" w:type="dxa"/>
            <w:vAlign w:val="center"/>
          </w:tcPr>
          <w:p w:rsidR="008920D6" w:rsidRPr="005475EC" w:rsidRDefault="008920D6" w:rsidP="008920D6">
            <w:pPr>
              <w:jc w:val="center"/>
              <w:rPr>
                <w:color w:val="00B050"/>
              </w:rPr>
            </w:pPr>
            <w:r w:rsidRPr="005475EC">
              <w:rPr>
                <w:color w:val="00B050"/>
              </w:rPr>
              <w:t>Artículo 68.1</w:t>
            </w:r>
          </w:p>
        </w:tc>
      </w:tr>
      <w:tr w:rsidR="008920D6" w:rsidTr="008920D6">
        <w:trPr>
          <w:trHeight w:val="54"/>
        </w:trPr>
        <w:tc>
          <w:tcPr>
            <w:tcW w:w="2235" w:type="dxa"/>
            <w:vMerge/>
            <w:vAlign w:val="center"/>
          </w:tcPr>
          <w:p w:rsidR="008920D6" w:rsidRPr="005475EC" w:rsidRDefault="008920D6" w:rsidP="008920D6">
            <w:pPr>
              <w:jc w:val="left"/>
              <w:rPr>
                <w:rFonts w:ascii="Bookman Old Style" w:hAnsi="Bookman Old Style"/>
                <w:b/>
                <w:color w:val="00B050"/>
                <w:sz w:val="48"/>
              </w:rPr>
            </w:pPr>
          </w:p>
        </w:tc>
        <w:tc>
          <w:tcPr>
            <w:tcW w:w="11765" w:type="dxa"/>
            <w:vAlign w:val="center"/>
          </w:tcPr>
          <w:p w:rsidR="008920D6" w:rsidRPr="005475EC" w:rsidRDefault="008920D6" w:rsidP="008920D6">
            <w:pPr>
              <w:jc w:val="left"/>
              <w:rPr>
                <w:color w:val="00B050"/>
              </w:rPr>
            </w:pPr>
            <w:r w:rsidRPr="005475EC">
              <w:rPr>
                <w:color w:val="00B050"/>
              </w:rPr>
              <w:t>Realización de trámites que deban ser cumplimentados por los interesados.</w:t>
            </w:r>
          </w:p>
        </w:tc>
        <w:tc>
          <w:tcPr>
            <w:tcW w:w="1701" w:type="dxa"/>
            <w:vAlign w:val="center"/>
          </w:tcPr>
          <w:p w:rsidR="008920D6" w:rsidRPr="005475EC" w:rsidRDefault="008920D6" w:rsidP="008920D6">
            <w:pPr>
              <w:jc w:val="center"/>
              <w:rPr>
                <w:color w:val="00B050"/>
              </w:rPr>
            </w:pPr>
            <w:r w:rsidRPr="005475EC">
              <w:rPr>
                <w:color w:val="00B050"/>
              </w:rPr>
              <w:t>Artículo 73.1</w:t>
            </w:r>
          </w:p>
        </w:tc>
      </w:tr>
      <w:tr w:rsidR="008920D6" w:rsidTr="008920D6">
        <w:trPr>
          <w:trHeight w:val="54"/>
        </w:trPr>
        <w:tc>
          <w:tcPr>
            <w:tcW w:w="2235" w:type="dxa"/>
            <w:vMerge/>
            <w:vAlign w:val="center"/>
          </w:tcPr>
          <w:p w:rsidR="008920D6" w:rsidRPr="005475EC" w:rsidRDefault="008920D6" w:rsidP="008920D6">
            <w:pPr>
              <w:jc w:val="left"/>
              <w:rPr>
                <w:rFonts w:ascii="Bookman Old Style" w:hAnsi="Bookman Old Style"/>
                <w:b/>
                <w:color w:val="00B050"/>
                <w:sz w:val="48"/>
              </w:rPr>
            </w:pPr>
          </w:p>
        </w:tc>
        <w:tc>
          <w:tcPr>
            <w:tcW w:w="11765" w:type="dxa"/>
            <w:vAlign w:val="center"/>
          </w:tcPr>
          <w:p w:rsidR="008920D6" w:rsidRPr="005475EC" w:rsidRDefault="008920D6" w:rsidP="008920D6">
            <w:pPr>
              <w:jc w:val="left"/>
              <w:rPr>
                <w:color w:val="00B050"/>
              </w:rPr>
            </w:pPr>
            <w:r w:rsidRPr="005475EC">
              <w:rPr>
                <w:color w:val="00B050"/>
              </w:rPr>
              <w:t>Plazo para que los interesados cumplimenten falta de requisitos necesarios de algún acto.</w:t>
            </w:r>
          </w:p>
        </w:tc>
        <w:tc>
          <w:tcPr>
            <w:tcW w:w="1701" w:type="dxa"/>
            <w:vAlign w:val="center"/>
          </w:tcPr>
          <w:p w:rsidR="008920D6" w:rsidRPr="005475EC" w:rsidRDefault="008920D6" w:rsidP="008920D6">
            <w:pPr>
              <w:jc w:val="center"/>
              <w:rPr>
                <w:color w:val="00B050"/>
              </w:rPr>
            </w:pPr>
            <w:r w:rsidRPr="005475EC">
              <w:rPr>
                <w:color w:val="00B050"/>
              </w:rPr>
              <w:t>Artículo 73.2</w:t>
            </w:r>
          </w:p>
        </w:tc>
      </w:tr>
      <w:tr w:rsidR="008920D6" w:rsidTr="008920D6">
        <w:trPr>
          <w:trHeight w:val="54"/>
        </w:trPr>
        <w:tc>
          <w:tcPr>
            <w:tcW w:w="2235" w:type="dxa"/>
            <w:vMerge/>
            <w:vAlign w:val="center"/>
          </w:tcPr>
          <w:p w:rsidR="008920D6" w:rsidRPr="005475EC" w:rsidRDefault="008920D6" w:rsidP="008920D6">
            <w:pPr>
              <w:jc w:val="left"/>
              <w:rPr>
                <w:rFonts w:ascii="Bookman Old Style" w:hAnsi="Bookman Old Style"/>
                <w:b/>
                <w:color w:val="00B050"/>
                <w:sz w:val="48"/>
              </w:rPr>
            </w:pPr>
          </w:p>
        </w:tc>
        <w:tc>
          <w:tcPr>
            <w:tcW w:w="11765" w:type="dxa"/>
            <w:vAlign w:val="center"/>
          </w:tcPr>
          <w:p w:rsidR="008920D6" w:rsidRPr="005475EC" w:rsidRDefault="008920D6" w:rsidP="008920D6">
            <w:pPr>
              <w:jc w:val="left"/>
              <w:rPr>
                <w:color w:val="00B050"/>
              </w:rPr>
            </w:pPr>
            <w:r w:rsidRPr="005475EC">
              <w:rPr>
                <w:color w:val="00B050"/>
              </w:rPr>
              <w:t xml:space="preserve">Apertura del periodo de prueba cuando la </w:t>
            </w:r>
            <w:proofErr w:type="spellStart"/>
            <w:r w:rsidRPr="005475EC">
              <w:rPr>
                <w:color w:val="00B050"/>
              </w:rPr>
              <w:t>Admón</w:t>
            </w:r>
            <w:proofErr w:type="spellEnd"/>
            <w:r w:rsidRPr="005475EC">
              <w:rPr>
                <w:color w:val="00B050"/>
              </w:rPr>
              <w:t xml:space="preserve"> no tenga ciertos los hechos alegados por los interesados (10-30 días)</w:t>
            </w:r>
          </w:p>
        </w:tc>
        <w:tc>
          <w:tcPr>
            <w:tcW w:w="1701" w:type="dxa"/>
            <w:vAlign w:val="center"/>
          </w:tcPr>
          <w:p w:rsidR="008920D6" w:rsidRPr="005475EC" w:rsidRDefault="008920D6" w:rsidP="008920D6">
            <w:pPr>
              <w:jc w:val="center"/>
              <w:rPr>
                <w:color w:val="00B050"/>
              </w:rPr>
            </w:pPr>
            <w:r w:rsidRPr="005475EC">
              <w:rPr>
                <w:color w:val="00B050"/>
              </w:rPr>
              <w:t>Artículo 77.2</w:t>
            </w:r>
          </w:p>
        </w:tc>
      </w:tr>
      <w:tr w:rsidR="008920D6" w:rsidTr="008920D6">
        <w:trPr>
          <w:trHeight w:val="90"/>
        </w:trPr>
        <w:tc>
          <w:tcPr>
            <w:tcW w:w="2235" w:type="dxa"/>
            <w:vMerge/>
            <w:vAlign w:val="center"/>
          </w:tcPr>
          <w:p w:rsidR="008920D6" w:rsidRPr="005475EC" w:rsidRDefault="008920D6" w:rsidP="008920D6">
            <w:pPr>
              <w:jc w:val="left"/>
              <w:rPr>
                <w:rFonts w:ascii="Bookman Old Style" w:hAnsi="Bookman Old Style"/>
                <w:b/>
                <w:color w:val="00B050"/>
                <w:sz w:val="48"/>
              </w:rPr>
            </w:pPr>
          </w:p>
        </w:tc>
        <w:tc>
          <w:tcPr>
            <w:tcW w:w="11765" w:type="dxa"/>
            <w:vAlign w:val="center"/>
          </w:tcPr>
          <w:p w:rsidR="008920D6" w:rsidRPr="005475EC" w:rsidRDefault="008920D6" w:rsidP="008920D6">
            <w:pPr>
              <w:jc w:val="left"/>
              <w:rPr>
                <w:color w:val="00B050"/>
              </w:rPr>
            </w:pPr>
            <w:r w:rsidRPr="005475EC">
              <w:rPr>
                <w:color w:val="00B050"/>
              </w:rPr>
              <w:t>Apertura de periodo de prueba extraordinario (máximo 10 días)</w:t>
            </w:r>
          </w:p>
        </w:tc>
        <w:tc>
          <w:tcPr>
            <w:tcW w:w="1701" w:type="dxa"/>
            <w:vAlign w:val="center"/>
          </w:tcPr>
          <w:p w:rsidR="008920D6" w:rsidRPr="005475EC" w:rsidRDefault="008920D6" w:rsidP="008920D6">
            <w:pPr>
              <w:jc w:val="center"/>
              <w:rPr>
                <w:color w:val="00B050"/>
              </w:rPr>
            </w:pPr>
            <w:r w:rsidRPr="005475EC">
              <w:rPr>
                <w:color w:val="00B050"/>
              </w:rPr>
              <w:t>Artículo 77.2</w:t>
            </w:r>
          </w:p>
        </w:tc>
      </w:tr>
      <w:tr w:rsidR="008920D6" w:rsidTr="008920D6">
        <w:trPr>
          <w:trHeight w:val="90"/>
        </w:trPr>
        <w:tc>
          <w:tcPr>
            <w:tcW w:w="2235" w:type="dxa"/>
            <w:vMerge/>
            <w:vAlign w:val="center"/>
          </w:tcPr>
          <w:p w:rsidR="008920D6" w:rsidRPr="005475EC" w:rsidRDefault="008920D6" w:rsidP="008920D6">
            <w:pPr>
              <w:jc w:val="left"/>
              <w:rPr>
                <w:rFonts w:ascii="Bookman Old Style" w:hAnsi="Bookman Old Style"/>
                <w:b/>
                <w:color w:val="00B050"/>
                <w:sz w:val="48"/>
              </w:rPr>
            </w:pPr>
          </w:p>
        </w:tc>
        <w:tc>
          <w:tcPr>
            <w:tcW w:w="11765" w:type="dxa"/>
            <w:vAlign w:val="center"/>
          </w:tcPr>
          <w:p w:rsidR="008920D6" w:rsidRPr="005475EC" w:rsidRDefault="008920D6" w:rsidP="008920D6">
            <w:pPr>
              <w:jc w:val="left"/>
              <w:rPr>
                <w:color w:val="00B050"/>
              </w:rPr>
            </w:pPr>
            <w:r w:rsidRPr="005475EC">
              <w:rPr>
                <w:color w:val="00B050"/>
              </w:rPr>
              <w:t>Emisión informes a través de medios electrónicos.</w:t>
            </w:r>
          </w:p>
        </w:tc>
        <w:tc>
          <w:tcPr>
            <w:tcW w:w="1701" w:type="dxa"/>
            <w:vAlign w:val="center"/>
          </w:tcPr>
          <w:p w:rsidR="008920D6" w:rsidRPr="005475EC" w:rsidRDefault="008920D6" w:rsidP="008920D6">
            <w:pPr>
              <w:jc w:val="center"/>
              <w:rPr>
                <w:color w:val="00B050"/>
              </w:rPr>
            </w:pPr>
            <w:r w:rsidRPr="005475EC">
              <w:rPr>
                <w:color w:val="00B050"/>
              </w:rPr>
              <w:t>Artículo 80.2</w:t>
            </w:r>
          </w:p>
        </w:tc>
      </w:tr>
      <w:tr w:rsidR="008920D6" w:rsidTr="008920D6">
        <w:trPr>
          <w:trHeight w:val="90"/>
        </w:trPr>
        <w:tc>
          <w:tcPr>
            <w:tcW w:w="2235" w:type="dxa"/>
            <w:vMerge/>
            <w:vAlign w:val="center"/>
          </w:tcPr>
          <w:p w:rsidR="008920D6" w:rsidRPr="005475EC" w:rsidRDefault="008920D6" w:rsidP="008920D6">
            <w:pPr>
              <w:jc w:val="left"/>
              <w:rPr>
                <w:rFonts w:ascii="Bookman Old Style" w:hAnsi="Bookman Old Style"/>
                <w:b/>
                <w:color w:val="00B050"/>
                <w:sz w:val="48"/>
              </w:rPr>
            </w:pPr>
          </w:p>
        </w:tc>
        <w:tc>
          <w:tcPr>
            <w:tcW w:w="11765" w:type="dxa"/>
            <w:vAlign w:val="center"/>
          </w:tcPr>
          <w:p w:rsidR="008920D6" w:rsidRPr="005475EC" w:rsidRDefault="008920D6" w:rsidP="008920D6">
            <w:pPr>
              <w:jc w:val="left"/>
              <w:rPr>
                <w:color w:val="00B050"/>
              </w:rPr>
            </w:pPr>
            <w:r w:rsidRPr="005475EC">
              <w:rPr>
                <w:color w:val="00B050"/>
              </w:rPr>
              <w:t>Emisión informe al servicio cuyo funcionamiento haya ocasionado la presunta lesión indemnizable</w:t>
            </w:r>
          </w:p>
        </w:tc>
        <w:tc>
          <w:tcPr>
            <w:tcW w:w="1701" w:type="dxa"/>
            <w:vAlign w:val="center"/>
          </w:tcPr>
          <w:p w:rsidR="008920D6" w:rsidRPr="005475EC" w:rsidRDefault="008920D6" w:rsidP="008920D6">
            <w:pPr>
              <w:jc w:val="center"/>
              <w:rPr>
                <w:color w:val="00B050"/>
              </w:rPr>
            </w:pPr>
            <w:r w:rsidRPr="005475EC">
              <w:rPr>
                <w:color w:val="00B050"/>
              </w:rPr>
              <w:t>Artículo 81.1</w:t>
            </w:r>
          </w:p>
        </w:tc>
      </w:tr>
      <w:tr w:rsidR="008920D6" w:rsidTr="008920D6">
        <w:trPr>
          <w:trHeight w:val="90"/>
        </w:trPr>
        <w:tc>
          <w:tcPr>
            <w:tcW w:w="2235" w:type="dxa"/>
            <w:vMerge/>
            <w:vAlign w:val="center"/>
          </w:tcPr>
          <w:p w:rsidR="008920D6" w:rsidRPr="005475EC" w:rsidRDefault="008920D6" w:rsidP="008920D6">
            <w:pPr>
              <w:jc w:val="left"/>
              <w:rPr>
                <w:rFonts w:ascii="Bookman Old Style" w:hAnsi="Bookman Old Style"/>
                <w:b/>
                <w:color w:val="00B050"/>
                <w:sz w:val="48"/>
              </w:rPr>
            </w:pPr>
          </w:p>
        </w:tc>
        <w:tc>
          <w:tcPr>
            <w:tcW w:w="11765" w:type="dxa"/>
            <w:vAlign w:val="center"/>
          </w:tcPr>
          <w:p w:rsidR="008920D6" w:rsidRPr="005475EC" w:rsidRDefault="008920D6" w:rsidP="008920D6">
            <w:pPr>
              <w:jc w:val="left"/>
              <w:rPr>
                <w:color w:val="00B050"/>
              </w:rPr>
            </w:pPr>
            <w:r w:rsidRPr="005475EC">
              <w:rPr>
                <w:color w:val="00B050"/>
              </w:rPr>
              <w:t>Remisión por órgano instructor de propuesta de resolución al órgano competente para solicitar dictamen</w:t>
            </w:r>
          </w:p>
        </w:tc>
        <w:tc>
          <w:tcPr>
            <w:tcW w:w="1701" w:type="dxa"/>
            <w:vAlign w:val="center"/>
          </w:tcPr>
          <w:p w:rsidR="008920D6" w:rsidRPr="005475EC" w:rsidRDefault="008920D6" w:rsidP="008920D6">
            <w:pPr>
              <w:jc w:val="center"/>
              <w:rPr>
                <w:color w:val="00B050"/>
              </w:rPr>
            </w:pPr>
            <w:r w:rsidRPr="005475EC">
              <w:rPr>
                <w:color w:val="00B050"/>
              </w:rPr>
              <w:t>Artículo 81.2</w:t>
            </w:r>
          </w:p>
        </w:tc>
      </w:tr>
      <w:tr w:rsidR="008920D6" w:rsidTr="008920D6">
        <w:trPr>
          <w:trHeight w:val="90"/>
        </w:trPr>
        <w:tc>
          <w:tcPr>
            <w:tcW w:w="2235" w:type="dxa"/>
            <w:vMerge/>
            <w:vAlign w:val="center"/>
          </w:tcPr>
          <w:p w:rsidR="008920D6" w:rsidRPr="005475EC" w:rsidRDefault="008920D6" w:rsidP="008920D6">
            <w:pPr>
              <w:jc w:val="left"/>
              <w:rPr>
                <w:rFonts w:ascii="Bookman Old Style" w:hAnsi="Bookman Old Style"/>
                <w:b/>
                <w:color w:val="00B050"/>
                <w:sz w:val="48"/>
              </w:rPr>
            </w:pPr>
          </w:p>
        </w:tc>
        <w:tc>
          <w:tcPr>
            <w:tcW w:w="11765" w:type="dxa"/>
            <w:vAlign w:val="center"/>
          </w:tcPr>
          <w:p w:rsidR="008920D6" w:rsidRPr="005475EC" w:rsidRDefault="008920D6" w:rsidP="008920D6">
            <w:pPr>
              <w:jc w:val="left"/>
              <w:rPr>
                <w:color w:val="00B050"/>
              </w:rPr>
            </w:pPr>
            <w:r w:rsidRPr="005475EC">
              <w:rPr>
                <w:color w:val="00B050"/>
              </w:rPr>
              <w:t>Plazo para los interesados para alegaciones y aportación de documentos  (10-15 días)</w:t>
            </w:r>
          </w:p>
        </w:tc>
        <w:tc>
          <w:tcPr>
            <w:tcW w:w="1701" w:type="dxa"/>
            <w:vAlign w:val="center"/>
          </w:tcPr>
          <w:p w:rsidR="008920D6" w:rsidRPr="005475EC" w:rsidRDefault="008920D6" w:rsidP="008920D6">
            <w:pPr>
              <w:jc w:val="center"/>
              <w:rPr>
                <w:color w:val="00B050"/>
              </w:rPr>
            </w:pPr>
            <w:r w:rsidRPr="005475EC">
              <w:rPr>
                <w:color w:val="00B050"/>
              </w:rPr>
              <w:t>Artículo 82.2</w:t>
            </w:r>
          </w:p>
        </w:tc>
      </w:tr>
      <w:tr w:rsidR="008920D6" w:rsidTr="008920D6">
        <w:tc>
          <w:tcPr>
            <w:tcW w:w="2235" w:type="dxa"/>
            <w:vMerge/>
            <w:vAlign w:val="center"/>
          </w:tcPr>
          <w:p w:rsidR="008920D6" w:rsidRPr="005475EC" w:rsidRDefault="008920D6" w:rsidP="008920D6">
            <w:pPr>
              <w:jc w:val="left"/>
              <w:rPr>
                <w:rFonts w:ascii="Bookman Old Style" w:hAnsi="Bookman Old Style"/>
                <w:color w:val="00B050"/>
              </w:rPr>
            </w:pPr>
          </w:p>
        </w:tc>
        <w:tc>
          <w:tcPr>
            <w:tcW w:w="11765" w:type="dxa"/>
            <w:vAlign w:val="center"/>
          </w:tcPr>
          <w:p w:rsidR="008920D6" w:rsidRPr="005475EC" w:rsidRDefault="008920D6" w:rsidP="008920D6">
            <w:pPr>
              <w:jc w:val="left"/>
              <w:rPr>
                <w:color w:val="00B050"/>
              </w:rPr>
            </w:pPr>
            <w:r w:rsidRPr="005475EC">
              <w:rPr>
                <w:color w:val="00B050"/>
              </w:rPr>
              <w:t>Solicitud por terceros de continuación del procedimiento desde notificación de desistimiento o renuncia</w:t>
            </w:r>
          </w:p>
        </w:tc>
        <w:tc>
          <w:tcPr>
            <w:tcW w:w="1701" w:type="dxa"/>
            <w:vAlign w:val="center"/>
          </w:tcPr>
          <w:p w:rsidR="008920D6" w:rsidRPr="005475EC" w:rsidRDefault="008920D6" w:rsidP="008920D6">
            <w:pPr>
              <w:jc w:val="center"/>
              <w:rPr>
                <w:color w:val="00B050"/>
              </w:rPr>
            </w:pPr>
            <w:r w:rsidRPr="005475EC">
              <w:rPr>
                <w:color w:val="00B050"/>
              </w:rPr>
              <w:t>Artículo 94.4</w:t>
            </w:r>
          </w:p>
        </w:tc>
      </w:tr>
      <w:tr w:rsidR="008920D6" w:rsidTr="008920D6">
        <w:tc>
          <w:tcPr>
            <w:tcW w:w="2235" w:type="dxa"/>
            <w:vMerge/>
            <w:vAlign w:val="center"/>
          </w:tcPr>
          <w:p w:rsidR="008920D6" w:rsidRPr="005475EC" w:rsidRDefault="008920D6" w:rsidP="008920D6">
            <w:pPr>
              <w:jc w:val="left"/>
              <w:rPr>
                <w:rFonts w:ascii="Bookman Old Style" w:hAnsi="Bookman Old Style"/>
                <w:color w:val="00B050"/>
              </w:rPr>
            </w:pPr>
          </w:p>
        </w:tc>
        <w:tc>
          <w:tcPr>
            <w:tcW w:w="11765" w:type="dxa"/>
            <w:vAlign w:val="center"/>
          </w:tcPr>
          <w:p w:rsidR="008920D6" w:rsidRPr="005475EC" w:rsidRDefault="008920D6" w:rsidP="008920D6">
            <w:pPr>
              <w:jc w:val="left"/>
              <w:rPr>
                <w:color w:val="00B050"/>
              </w:rPr>
            </w:pPr>
            <w:r w:rsidRPr="005475EC">
              <w:rPr>
                <w:color w:val="00B050"/>
              </w:rPr>
              <w:t>Alegaciones y presentación de documentos (10-15 días)</w:t>
            </w:r>
          </w:p>
        </w:tc>
        <w:tc>
          <w:tcPr>
            <w:tcW w:w="1701" w:type="dxa"/>
            <w:vAlign w:val="center"/>
          </w:tcPr>
          <w:p w:rsidR="008920D6" w:rsidRPr="005475EC" w:rsidRDefault="008920D6" w:rsidP="008920D6">
            <w:pPr>
              <w:jc w:val="center"/>
              <w:rPr>
                <w:color w:val="00B050"/>
              </w:rPr>
            </w:pPr>
            <w:r w:rsidRPr="005475EC">
              <w:rPr>
                <w:color w:val="00B050"/>
              </w:rPr>
              <w:t>Artículo 118.1</w:t>
            </w:r>
          </w:p>
        </w:tc>
      </w:tr>
      <w:tr w:rsidR="008920D6" w:rsidTr="008920D6">
        <w:tc>
          <w:tcPr>
            <w:tcW w:w="2235" w:type="dxa"/>
            <w:vMerge/>
            <w:vAlign w:val="center"/>
          </w:tcPr>
          <w:p w:rsidR="008920D6" w:rsidRPr="005475EC" w:rsidRDefault="008920D6" w:rsidP="008920D6">
            <w:pPr>
              <w:jc w:val="left"/>
              <w:rPr>
                <w:rFonts w:ascii="Bookman Old Style" w:hAnsi="Bookman Old Style"/>
                <w:color w:val="00B050"/>
              </w:rPr>
            </w:pPr>
          </w:p>
        </w:tc>
        <w:tc>
          <w:tcPr>
            <w:tcW w:w="11765" w:type="dxa"/>
            <w:vAlign w:val="center"/>
          </w:tcPr>
          <w:p w:rsidR="008920D6" w:rsidRPr="005475EC" w:rsidRDefault="008920D6" w:rsidP="008920D6">
            <w:pPr>
              <w:jc w:val="left"/>
              <w:rPr>
                <w:color w:val="00B050"/>
              </w:rPr>
            </w:pPr>
            <w:r w:rsidRPr="005475EC">
              <w:rPr>
                <w:color w:val="00B050"/>
              </w:rPr>
              <w:t>Remisión recurso de alzada al órgano competente.</w:t>
            </w:r>
          </w:p>
        </w:tc>
        <w:tc>
          <w:tcPr>
            <w:tcW w:w="1701" w:type="dxa"/>
            <w:vAlign w:val="center"/>
          </w:tcPr>
          <w:p w:rsidR="008920D6" w:rsidRPr="005475EC" w:rsidRDefault="008920D6" w:rsidP="008920D6">
            <w:pPr>
              <w:jc w:val="center"/>
              <w:rPr>
                <w:color w:val="00B050"/>
              </w:rPr>
            </w:pPr>
            <w:r w:rsidRPr="005475EC">
              <w:rPr>
                <w:color w:val="00B050"/>
              </w:rPr>
              <w:t>Artículo 121.2</w:t>
            </w:r>
          </w:p>
        </w:tc>
      </w:tr>
    </w:tbl>
    <w:p w:rsidR="008920D6" w:rsidRDefault="008920D6"/>
    <w:tbl>
      <w:tblPr>
        <w:tblStyle w:val="Tablaconcuadrcula"/>
        <w:tblW w:w="15701" w:type="dxa"/>
        <w:tblCellMar>
          <w:top w:w="85" w:type="dxa"/>
          <w:bottom w:w="85" w:type="dxa"/>
        </w:tblCellMar>
        <w:tblLook w:val="04A0"/>
      </w:tblPr>
      <w:tblGrid>
        <w:gridCol w:w="2235"/>
        <w:gridCol w:w="11765"/>
        <w:gridCol w:w="1701"/>
      </w:tblGrid>
      <w:tr w:rsidR="008920D6" w:rsidTr="005475EC">
        <w:tc>
          <w:tcPr>
            <w:tcW w:w="15701" w:type="dxa"/>
            <w:gridSpan w:val="3"/>
            <w:shd w:val="clear" w:color="auto" w:fill="D99594" w:themeFill="accent2" w:themeFillTint="99"/>
          </w:tcPr>
          <w:p w:rsidR="008920D6" w:rsidRPr="00CB51A7" w:rsidRDefault="008920D6" w:rsidP="00E46A66">
            <w:pPr>
              <w:jc w:val="center"/>
              <w:rPr>
                <w:rFonts w:ascii="Baskerville Old Face" w:hAnsi="Baskerville Old Face"/>
                <w:b/>
                <w:sz w:val="32"/>
              </w:rPr>
            </w:pPr>
            <w:r w:rsidRPr="00CB51A7">
              <w:rPr>
                <w:rFonts w:ascii="Baskerville Old Face" w:hAnsi="Baskerville Old Face"/>
                <w:b/>
                <w:sz w:val="32"/>
              </w:rPr>
              <w:lastRenderedPageBreak/>
              <w:t>Plazos de la ley 39/2015</w:t>
            </w:r>
          </w:p>
        </w:tc>
      </w:tr>
      <w:tr w:rsidR="008920D6" w:rsidTr="005475EC">
        <w:trPr>
          <w:trHeight w:val="326"/>
        </w:trPr>
        <w:tc>
          <w:tcPr>
            <w:tcW w:w="2235" w:type="dxa"/>
            <w:shd w:val="clear" w:color="auto" w:fill="D99594" w:themeFill="accent2" w:themeFillTint="99"/>
          </w:tcPr>
          <w:p w:rsidR="008920D6" w:rsidRDefault="008920D6" w:rsidP="00E46A66">
            <w:pPr>
              <w:jc w:val="center"/>
            </w:pPr>
            <w:r>
              <w:t>Plazo</w:t>
            </w:r>
          </w:p>
        </w:tc>
        <w:tc>
          <w:tcPr>
            <w:tcW w:w="11765" w:type="dxa"/>
            <w:shd w:val="clear" w:color="auto" w:fill="D99594" w:themeFill="accent2" w:themeFillTint="99"/>
          </w:tcPr>
          <w:p w:rsidR="008920D6" w:rsidRDefault="008920D6" w:rsidP="00E46A66">
            <w:pPr>
              <w:jc w:val="center"/>
            </w:pPr>
            <w:r>
              <w:t>Contenido</w:t>
            </w:r>
          </w:p>
        </w:tc>
        <w:tc>
          <w:tcPr>
            <w:tcW w:w="1701" w:type="dxa"/>
            <w:shd w:val="clear" w:color="auto" w:fill="D99594" w:themeFill="accent2" w:themeFillTint="99"/>
          </w:tcPr>
          <w:p w:rsidR="008920D6" w:rsidRDefault="008920D6" w:rsidP="00E46A66">
            <w:pPr>
              <w:jc w:val="center"/>
            </w:pPr>
            <w:r>
              <w:t>Artículo</w:t>
            </w:r>
          </w:p>
        </w:tc>
      </w:tr>
      <w:tr w:rsidR="005475EC" w:rsidTr="005475EC">
        <w:trPr>
          <w:trHeight w:val="81"/>
        </w:trPr>
        <w:tc>
          <w:tcPr>
            <w:tcW w:w="2235" w:type="dxa"/>
            <w:vMerge w:val="restart"/>
            <w:vAlign w:val="center"/>
          </w:tcPr>
          <w:p w:rsidR="005475EC" w:rsidRPr="005475EC" w:rsidRDefault="005475EC" w:rsidP="00E46A66">
            <w:pPr>
              <w:jc w:val="center"/>
              <w:rPr>
                <w:rFonts w:ascii="Bookman Old Style" w:hAnsi="Bookman Old Style"/>
                <w:color w:val="E36C0A" w:themeColor="accent6" w:themeShade="BF"/>
              </w:rPr>
            </w:pPr>
            <w:r w:rsidRPr="005475EC">
              <w:rPr>
                <w:rFonts w:ascii="Bookman Old Style" w:hAnsi="Bookman Old Style"/>
                <w:b/>
                <w:color w:val="E36C0A" w:themeColor="accent6" w:themeShade="BF"/>
                <w:sz w:val="48"/>
              </w:rPr>
              <w:t>15 días</w:t>
            </w:r>
          </w:p>
        </w:tc>
        <w:tc>
          <w:tcPr>
            <w:tcW w:w="11765" w:type="dxa"/>
            <w:vAlign w:val="center"/>
          </w:tcPr>
          <w:p w:rsidR="005475EC" w:rsidRPr="005475EC" w:rsidRDefault="005475EC" w:rsidP="00E46A66">
            <w:pPr>
              <w:jc w:val="left"/>
              <w:rPr>
                <w:color w:val="E36C0A" w:themeColor="accent6" w:themeShade="BF"/>
              </w:rPr>
            </w:pPr>
            <w:r w:rsidRPr="005475EC">
              <w:rPr>
                <w:color w:val="E36C0A" w:themeColor="accent6" w:themeShade="BF"/>
              </w:rPr>
              <w:t xml:space="preserve">Plazo expedición certificado acreditativo del silencio </w:t>
            </w:r>
          </w:p>
        </w:tc>
        <w:tc>
          <w:tcPr>
            <w:tcW w:w="1701" w:type="dxa"/>
            <w:vAlign w:val="center"/>
          </w:tcPr>
          <w:p w:rsidR="005475EC" w:rsidRPr="005475EC" w:rsidRDefault="005475EC" w:rsidP="00E46A66">
            <w:pPr>
              <w:jc w:val="center"/>
              <w:rPr>
                <w:color w:val="E36C0A" w:themeColor="accent6" w:themeShade="BF"/>
              </w:rPr>
            </w:pPr>
            <w:r w:rsidRPr="005475EC">
              <w:rPr>
                <w:color w:val="E36C0A" w:themeColor="accent6" w:themeShade="BF"/>
              </w:rPr>
              <w:t>Artículo 24.4</w:t>
            </w:r>
          </w:p>
        </w:tc>
      </w:tr>
      <w:tr w:rsidR="005475EC" w:rsidTr="005475EC">
        <w:trPr>
          <w:trHeight w:val="79"/>
        </w:trPr>
        <w:tc>
          <w:tcPr>
            <w:tcW w:w="2235" w:type="dxa"/>
            <w:vMerge/>
            <w:vAlign w:val="center"/>
          </w:tcPr>
          <w:p w:rsidR="005475EC" w:rsidRPr="005475EC" w:rsidRDefault="005475EC" w:rsidP="00E46A66">
            <w:pPr>
              <w:jc w:val="left"/>
              <w:rPr>
                <w:rFonts w:ascii="Bookman Old Style" w:hAnsi="Bookman Old Style"/>
                <w:b/>
                <w:color w:val="E36C0A" w:themeColor="accent6" w:themeShade="BF"/>
                <w:sz w:val="48"/>
              </w:rPr>
            </w:pPr>
          </w:p>
        </w:tc>
        <w:tc>
          <w:tcPr>
            <w:tcW w:w="11765" w:type="dxa"/>
            <w:vAlign w:val="center"/>
          </w:tcPr>
          <w:p w:rsidR="005475EC" w:rsidRPr="005475EC" w:rsidRDefault="005475EC" w:rsidP="00E46A66">
            <w:pPr>
              <w:jc w:val="left"/>
              <w:rPr>
                <w:color w:val="E36C0A" w:themeColor="accent6" w:themeShade="BF"/>
              </w:rPr>
            </w:pPr>
            <w:r w:rsidRPr="005475EC">
              <w:rPr>
                <w:color w:val="E36C0A" w:themeColor="accent6" w:themeShade="BF"/>
              </w:rPr>
              <w:t xml:space="preserve">Expedición copias auténticas de documentos </w:t>
            </w:r>
          </w:p>
        </w:tc>
        <w:tc>
          <w:tcPr>
            <w:tcW w:w="1701" w:type="dxa"/>
            <w:vAlign w:val="center"/>
          </w:tcPr>
          <w:p w:rsidR="005475EC" w:rsidRPr="005475EC" w:rsidRDefault="005475EC" w:rsidP="00E46A66">
            <w:pPr>
              <w:jc w:val="center"/>
              <w:rPr>
                <w:color w:val="E36C0A" w:themeColor="accent6" w:themeShade="BF"/>
              </w:rPr>
            </w:pPr>
            <w:r w:rsidRPr="005475EC">
              <w:rPr>
                <w:color w:val="E36C0A" w:themeColor="accent6" w:themeShade="BF"/>
              </w:rPr>
              <w:t>Artículo 27.4</w:t>
            </w:r>
          </w:p>
        </w:tc>
      </w:tr>
      <w:tr w:rsidR="005475EC" w:rsidTr="005475EC">
        <w:trPr>
          <w:trHeight w:val="79"/>
        </w:trPr>
        <w:tc>
          <w:tcPr>
            <w:tcW w:w="2235" w:type="dxa"/>
            <w:vMerge/>
            <w:vAlign w:val="center"/>
          </w:tcPr>
          <w:p w:rsidR="005475EC" w:rsidRPr="005475EC" w:rsidRDefault="005475EC" w:rsidP="00E46A66">
            <w:pPr>
              <w:jc w:val="left"/>
              <w:rPr>
                <w:rFonts w:ascii="Bookman Old Style" w:hAnsi="Bookman Old Style"/>
                <w:b/>
                <w:color w:val="E36C0A" w:themeColor="accent6" w:themeShade="BF"/>
                <w:sz w:val="48"/>
              </w:rPr>
            </w:pPr>
          </w:p>
        </w:tc>
        <w:tc>
          <w:tcPr>
            <w:tcW w:w="11765" w:type="dxa"/>
            <w:vAlign w:val="center"/>
          </w:tcPr>
          <w:p w:rsidR="005475EC" w:rsidRPr="005475EC" w:rsidRDefault="005475EC" w:rsidP="00E46A66">
            <w:pPr>
              <w:jc w:val="left"/>
              <w:rPr>
                <w:color w:val="E36C0A" w:themeColor="accent6" w:themeShade="BF"/>
              </w:rPr>
            </w:pPr>
            <w:r w:rsidRPr="005475EC">
              <w:rPr>
                <w:color w:val="E36C0A" w:themeColor="accent6" w:themeShade="BF"/>
              </w:rPr>
              <w:t xml:space="preserve">Confirmación, modificación o levantamiento de medidas provisionales </w:t>
            </w:r>
          </w:p>
        </w:tc>
        <w:tc>
          <w:tcPr>
            <w:tcW w:w="1701" w:type="dxa"/>
            <w:vAlign w:val="center"/>
          </w:tcPr>
          <w:p w:rsidR="005475EC" w:rsidRPr="005475EC" w:rsidRDefault="005475EC" w:rsidP="00E46A66">
            <w:pPr>
              <w:jc w:val="center"/>
              <w:rPr>
                <w:color w:val="E36C0A" w:themeColor="accent6" w:themeShade="BF"/>
              </w:rPr>
            </w:pPr>
            <w:r w:rsidRPr="005475EC">
              <w:rPr>
                <w:color w:val="E36C0A" w:themeColor="accent6" w:themeShade="BF"/>
              </w:rPr>
              <w:t>Artículo 56.2</w:t>
            </w:r>
          </w:p>
        </w:tc>
      </w:tr>
      <w:tr w:rsidR="005475EC" w:rsidTr="005475EC">
        <w:trPr>
          <w:trHeight w:val="79"/>
        </w:trPr>
        <w:tc>
          <w:tcPr>
            <w:tcW w:w="2235" w:type="dxa"/>
            <w:vMerge/>
            <w:vAlign w:val="center"/>
          </w:tcPr>
          <w:p w:rsidR="005475EC" w:rsidRPr="005475EC" w:rsidRDefault="005475EC" w:rsidP="00E46A66">
            <w:pPr>
              <w:jc w:val="left"/>
              <w:rPr>
                <w:rFonts w:ascii="Bookman Old Style" w:hAnsi="Bookman Old Style"/>
                <w:b/>
                <w:color w:val="E36C0A" w:themeColor="accent6" w:themeShade="BF"/>
                <w:sz w:val="48"/>
              </w:rPr>
            </w:pPr>
          </w:p>
        </w:tc>
        <w:tc>
          <w:tcPr>
            <w:tcW w:w="11765" w:type="dxa"/>
            <w:vAlign w:val="center"/>
          </w:tcPr>
          <w:p w:rsidR="005475EC" w:rsidRPr="005475EC" w:rsidRDefault="005475EC" w:rsidP="00E46A66">
            <w:pPr>
              <w:jc w:val="left"/>
              <w:rPr>
                <w:color w:val="E36C0A" w:themeColor="accent6" w:themeShade="BF"/>
              </w:rPr>
            </w:pPr>
            <w:r w:rsidRPr="005475EC">
              <w:rPr>
                <w:color w:val="E36C0A" w:themeColor="accent6" w:themeShade="BF"/>
              </w:rPr>
              <w:t xml:space="preserve">Práctica de actuaciones complementarias </w:t>
            </w:r>
          </w:p>
        </w:tc>
        <w:tc>
          <w:tcPr>
            <w:tcW w:w="1701" w:type="dxa"/>
            <w:vAlign w:val="center"/>
          </w:tcPr>
          <w:p w:rsidR="005475EC" w:rsidRPr="005475EC" w:rsidRDefault="005475EC" w:rsidP="00E46A66">
            <w:pPr>
              <w:jc w:val="center"/>
              <w:rPr>
                <w:color w:val="E36C0A" w:themeColor="accent6" w:themeShade="BF"/>
              </w:rPr>
            </w:pPr>
            <w:r w:rsidRPr="005475EC">
              <w:rPr>
                <w:color w:val="E36C0A" w:themeColor="accent6" w:themeShade="BF"/>
              </w:rPr>
              <w:t>Artículo 87</w:t>
            </w:r>
          </w:p>
        </w:tc>
      </w:tr>
      <w:tr w:rsidR="005475EC" w:rsidTr="005475EC">
        <w:trPr>
          <w:trHeight w:val="79"/>
        </w:trPr>
        <w:tc>
          <w:tcPr>
            <w:tcW w:w="2235" w:type="dxa"/>
            <w:vMerge/>
            <w:vAlign w:val="center"/>
          </w:tcPr>
          <w:p w:rsidR="005475EC" w:rsidRPr="005475EC" w:rsidRDefault="005475EC" w:rsidP="00E46A66">
            <w:pPr>
              <w:jc w:val="left"/>
              <w:rPr>
                <w:rFonts w:ascii="Bookman Old Style" w:hAnsi="Bookman Old Style"/>
                <w:b/>
                <w:color w:val="E36C0A" w:themeColor="accent6" w:themeShade="BF"/>
                <w:sz w:val="48"/>
              </w:rPr>
            </w:pPr>
          </w:p>
        </w:tc>
        <w:tc>
          <w:tcPr>
            <w:tcW w:w="11765" w:type="dxa"/>
            <w:vAlign w:val="center"/>
          </w:tcPr>
          <w:p w:rsidR="005475EC" w:rsidRPr="005475EC" w:rsidRDefault="005475EC" w:rsidP="00E46A66">
            <w:pPr>
              <w:jc w:val="left"/>
              <w:rPr>
                <w:color w:val="E36C0A" w:themeColor="accent6" w:themeShade="BF"/>
              </w:rPr>
            </w:pPr>
            <w:r w:rsidRPr="005475EC">
              <w:rPr>
                <w:color w:val="E36C0A" w:themeColor="accent6" w:themeShade="BF"/>
              </w:rPr>
              <w:t>Alegaciones y aportación de pruebas en caso de cuestiones conexas NO planteadas por los interesados. (máx. 15)</w:t>
            </w:r>
          </w:p>
        </w:tc>
        <w:tc>
          <w:tcPr>
            <w:tcW w:w="1701" w:type="dxa"/>
            <w:vAlign w:val="center"/>
          </w:tcPr>
          <w:p w:rsidR="005475EC" w:rsidRPr="005475EC" w:rsidRDefault="005475EC" w:rsidP="00E46A66">
            <w:pPr>
              <w:jc w:val="center"/>
              <w:rPr>
                <w:color w:val="E36C0A" w:themeColor="accent6" w:themeShade="BF"/>
              </w:rPr>
            </w:pPr>
            <w:r w:rsidRPr="005475EC">
              <w:rPr>
                <w:color w:val="E36C0A" w:themeColor="accent6" w:themeShade="BF"/>
              </w:rPr>
              <w:t>Artículo 88.1</w:t>
            </w:r>
          </w:p>
        </w:tc>
      </w:tr>
      <w:tr w:rsidR="005475EC" w:rsidTr="005475EC">
        <w:trPr>
          <w:trHeight w:val="79"/>
        </w:trPr>
        <w:tc>
          <w:tcPr>
            <w:tcW w:w="2235" w:type="dxa"/>
            <w:vMerge/>
            <w:vAlign w:val="center"/>
          </w:tcPr>
          <w:p w:rsidR="005475EC" w:rsidRPr="005475EC" w:rsidRDefault="005475EC" w:rsidP="00E46A66">
            <w:pPr>
              <w:jc w:val="left"/>
              <w:rPr>
                <w:rFonts w:ascii="Bookman Old Style" w:hAnsi="Bookman Old Style"/>
                <w:b/>
                <w:color w:val="E36C0A" w:themeColor="accent6" w:themeShade="BF"/>
                <w:sz w:val="48"/>
              </w:rPr>
            </w:pPr>
          </w:p>
        </w:tc>
        <w:tc>
          <w:tcPr>
            <w:tcW w:w="11765" w:type="dxa"/>
            <w:vAlign w:val="center"/>
          </w:tcPr>
          <w:p w:rsidR="005475EC" w:rsidRPr="005475EC" w:rsidRDefault="005475EC" w:rsidP="00E46A66">
            <w:pPr>
              <w:jc w:val="left"/>
              <w:rPr>
                <w:color w:val="E36C0A" w:themeColor="accent6" w:themeShade="BF"/>
              </w:rPr>
            </w:pPr>
            <w:r w:rsidRPr="005475EC">
              <w:rPr>
                <w:color w:val="E36C0A" w:themeColor="accent6" w:themeShade="BF"/>
              </w:rPr>
              <w:t xml:space="preserve">Alegaciones cuando el órgano competente para resolver considere que la infracción o la sanción revisten mayor gravedad que la determinada en la propuesta de resolución. </w:t>
            </w:r>
          </w:p>
        </w:tc>
        <w:tc>
          <w:tcPr>
            <w:tcW w:w="1701" w:type="dxa"/>
            <w:vAlign w:val="center"/>
          </w:tcPr>
          <w:p w:rsidR="005475EC" w:rsidRPr="005475EC" w:rsidRDefault="005475EC" w:rsidP="00E46A66">
            <w:pPr>
              <w:jc w:val="center"/>
              <w:rPr>
                <w:color w:val="E36C0A" w:themeColor="accent6" w:themeShade="BF"/>
              </w:rPr>
            </w:pPr>
            <w:r w:rsidRPr="005475EC">
              <w:rPr>
                <w:color w:val="E36C0A" w:themeColor="accent6" w:themeShade="BF"/>
              </w:rPr>
              <w:t>Artículo 90.2</w:t>
            </w:r>
          </w:p>
        </w:tc>
      </w:tr>
      <w:tr w:rsidR="005475EC" w:rsidTr="005475EC">
        <w:trPr>
          <w:trHeight w:val="54"/>
        </w:trPr>
        <w:tc>
          <w:tcPr>
            <w:tcW w:w="2235" w:type="dxa"/>
            <w:vMerge/>
            <w:vAlign w:val="center"/>
          </w:tcPr>
          <w:p w:rsidR="005475EC" w:rsidRPr="005475EC" w:rsidRDefault="005475EC" w:rsidP="00E46A66">
            <w:pPr>
              <w:jc w:val="left"/>
              <w:rPr>
                <w:rFonts w:ascii="Bookman Old Style" w:hAnsi="Bookman Old Style"/>
                <w:b/>
                <w:color w:val="E36C0A" w:themeColor="accent6" w:themeShade="BF"/>
                <w:sz w:val="48"/>
              </w:rPr>
            </w:pPr>
          </w:p>
        </w:tc>
        <w:tc>
          <w:tcPr>
            <w:tcW w:w="11765" w:type="dxa"/>
            <w:vAlign w:val="center"/>
          </w:tcPr>
          <w:p w:rsidR="005475EC" w:rsidRPr="005475EC" w:rsidRDefault="005475EC" w:rsidP="00E46A66">
            <w:pPr>
              <w:jc w:val="left"/>
              <w:rPr>
                <w:color w:val="E36C0A" w:themeColor="accent6" w:themeShade="BF"/>
              </w:rPr>
            </w:pPr>
            <w:r w:rsidRPr="005475EC">
              <w:rPr>
                <w:color w:val="E36C0A" w:themeColor="accent6" w:themeShade="BF"/>
              </w:rPr>
              <w:t xml:space="preserve">Emisión de dictamen en procedimientos administrativos tramitados de manera simplificada. </w:t>
            </w:r>
          </w:p>
        </w:tc>
        <w:tc>
          <w:tcPr>
            <w:tcW w:w="1701" w:type="dxa"/>
            <w:vAlign w:val="center"/>
          </w:tcPr>
          <w:p w:rsidR="005475EC" w:rsidRPr="005475EC" w:rsidRDefault="005475EC" w:rsidP="00E46A66">
            <w:pPr>
              <w:jc w:val="center"/>
              <w:rPr>
                <w:color w:val="E36C0A" w:themeColor="accent6" w:themeShade="BF"/>
              </w:rPr>
            </w:pPr>
            <w:r w:rsidRPr="005475EC">
              <w:rPr>
                <w:color w:val="E36C0A" w:themeColor="accent6" w:themeShade="BF"/>
              </w:rPr>
              <w:t>Artículo 96.6</w:t>
            </w:r>
          </w:p>
        </w:tc>
      </w:tr>
      <w:tr w:rsidR="005475EC" w:rsidRPr="005475EC" w:rsidTr="005475EC">
        <w:trPr>
          <w:trHeight w:val="1017"/>
        </w:trPr>
        <w:tc>
          <w:tcPr>
            <w:tcW w:w="2235" w:type="dxa"/>
            <w:vAlign w:val="center"/>
          </w:tcPr>
          <w:p w:rsidR="005475EC" w:rsidRPr="005475EC" w:rsidRDefault="005475EC" w:rsidP="00E46A66">
            <w:pPr>
              <w:jc w:val="left"/>
              <w:rPr>
                <w:rFonts w:ascii="Bookman Old Style" w:hAnsi="Bookman Old Style"/>
                <w:b/>
                <w:color w:val="5F497A" w:themeColor="accent4" w:themeShade="BF"/>
                <w:sz w:val="48"/>
              </w:rPr>
            </w:pPr>
            <w:r w:rsidRPr="005475EC">
              <w:rPr>
                <w:rFonts w:ascii="Bookman Old Style" w:hAnsi="Bookman Old Style"/>
                <w:b/>
                <w:color w:val="5F497A" w:themeColor="accent4" w:themeShade="BF"/>
                <w:sz w:val="48"/>
              </w:rPr>
              <w:t xml:space="preserve">20 días </w:t>
            </w:r>
          </w:p>
        </w:tc>
        <w:tc>
          <w:tcPr>
            <w:tcW w:w="11765" w:type="dxa"/>
            <w:vAlign w:val="center"/>
          </w:tcPr>
          <w:p w:rsidR="005475EC" w:rsidRPr="005475EC" w:rsidRDefault="005475EC" w:rsidP="00E46A66">
            <w:pPr>
              <w:jc w:val="left"/>
              <w:rPr>
                <w:color w:val="5F497A" w:themeColor="accent4" w:themeShade="BF"/>
              </w:rPr>
            </w:pPr>
            <w:r w:rsidRPr="005475EC">
              <w:rPr>
                <w:color w:val="5F497A" w:themeColor="accent4" w:themeShade="BF"/>
              </w:rPr>
              <w:t>Plazo para formular alegaciones</w:t>
            </w:r>
          </w:p>
        </w:tc>
        <w:tc>
          <w:tcPr>
            <w:tcW w:w="1701" w:type="dxa"/>
            <w:vAlign w:val="center"/>
          </w:tcPr>
          <w:p w:rsidR="005475EC" w:rsidRPr="005475EC" w:rsidRDefault="005475EC" w:rsidP="005475EC">
            <w:pPr>
              <w:jc w:val="center"/>
              <w:rPr>
                <w:color w:val="5F497A" w:themeColor="accent4" w:themeShade="BF"/>
              </w:rPr>
            </w:pPr>
            <w:r w:rsidRPr="005475EC">
              <w:rPr>
                <w:color w:val="5F497A" w:themeColor="accent4" w:themeShade="BF"/>
              </w:rPr>
              <w:t xml:space="preserve">Artículo 83.2 </w:t>
            </w:r>
          </w:p>
        </w:tc>
      </w:tr>
      <w:tr w:rsidR="005475EC" w:rsidTr="005475EC">
        <w:trPr>
          <w:trHeight w:val="2412"/>
        </w:trPr>
        <w:tc>
          <w:tcPr>
            <w:tcW w:w="2235" w:type="dxa"/>
            <w:vAlign w:val="center"/>
          </w:tcPr>
          <w:p w:rsidR="005475EC" w:rsidRPr="005475EC" w:rsidRDefault="005475EC" w:rsidP="00E46A66">
            <w:pPr>
              <w:jc w:val="left"/>
              <w:rPr>
                <w:rFonts w:ascii="Bookman Old Style" w:hAnsi="Bookman Old Style"/>
                <w:b/>
                <w:color w:val="F71727"/>
                <w:sz w:val="48"/>
              </w:rPr>
            </w:pPr>
            <w:r w:rsidRPr="005475EC">
              <w:rPr>
                <w:rFonts w:ascii="Bookman Old Style" w:hAnsi="Bookman Old Style"/>
                <w:b/>
                <w:color w:val="F71727"/>
                <w:sz w:val="48"/>
              </w:rPr>
              <w:t>30 días</w:t>
            </w:r>
          </w:p>
        </w:tc>
        <w:tc>
          <w:tcPr>
            <w:tcW w:w="11765" w:type="dxa"/>
            <w:vAlign w:val="center"/>
          </w:tcPr>
          <w:p w:rsidR="005475EC" w:rsidRPr="005475EC" w:rsidRDefault="005475EC" w:rsidP="00E46A66">
            <w:pPr>
              <w:jc w:val="left"/>
              <w:rPr>
                <w:color w:val="F71727"/>
              </w:rPr>
            </w:pPr>
            <w:r w:rsidRPr="005475EC">
              <w:rPr>
                <w:color w:val="F71727"/>
              </w:rPr>
              <w:t xml:space="preserve">Resolución procedimientos administrativos tramitados de manera simplificada </w:t>
            </w:r>
          </w:p>
        </w:tc>
        <w:tc>
          <w:tcPr>
            <w:tcW w:w="1701" w:type="dxa"/>
            <w:vAlign w:val="center"/>
          </w:tcPr>
          <w:p w:rsidR="005475EC" w:rsidRPr="005475EC" w:rsidRDefault="005475EC" w:rsidP="005475EC">
            <w:pPr>
              <w:rPr>
                <w:color w:val="F71727"/>
              </w:rPr>
            </w:pPr>
            <w:r w:rsidRPr="005475EC">
              <w:rPr>
                <w:color w:val="F71727"/>
              </w:rPr>
              <w:t>Artículo 96.6</w:t>
            </w:r>
          </w:p>
        </w:tc>
      </w:tr>
    </w:tbl>
    <w:p w:rsidR="008920D6" w:rsidRDefault="008920D6"/>
    <w:p w:rsidR="005475EC" w:rsidRDefault="005475EC"/>
    <w:p w:rsidR="005475EC" w:rsidRDefault="005475EC"/>
    <w:p w:rsidR="005475EC" w:rsidRDefault="005475EC"/>
    <w:tbl>
      <w:tblPr>
        <w:tblStyle w:val="Tablaconcuadrcula"/>
        <w:tblW w:w="15701" w:type="dxa"/>
        <w:shd w:val="clear" w:color="auto" w:fill="C4BC96" w:themeFill="background2" w:themeFillShade="BF"/>
        <w:tblCellMar>
          <w:top w:w="57" w:type="dxa"/>
          <w:bottom w:w="57" w:type="dxa"/>
        </w:tblCellMar>
        <w:tblLook w:val="04A0"/>
      </w:tblPr>
      <w:tblGrid>
        <w:gridCol w:w="2093"/>
        <w:gridCol w:w="11907"/>
        <w:gridCol w:w="1701"/>
      </w:tblGrid>
      <w:tr w:rsidR="005475EC" w:rsidRPr="00CB51A7" w:rsidTr="003249EA">
        <w:tc>
          <w:tcPr>
            <w:tcW w:w="15701" w:type="dxa"/>
            <w:gridSpan w:val="3"/>
            <w:shd w:val="clear" w:color="auto" w:fill="D99594" w:themeFill="accent2" w:themeFillTint="99"/>
          </w:tcPr>
          <w:p w:rsidR="005475EC" w:rsidRPr="003249EA" w:rsidRDefault="005475EC" w:rsidP="00E46A66">
            <w:pPr>
              <w:jc w:val="center"/>
              <w:rPr>
                <w:rFonts w:ascii="Baskerville Old Face" w:hAnsi="Baskerville Old Face"/>
                <w:b/>
                <w:sz w:val="32"/>
              </w:rPr>
            </w:pPr>
            <w:r w:rsidRPr="003249EA">
              <w:rPr>
                <w:rFonts w:ascii="Baskerville Old Face" w:hAnsi="Baskerville Old Face"/>
                <w:b/>
                <w:sz w:val="32"/>
              </w:rPr>
              <w:lastRenderedPageBreak/>
              <w:t>Plazos de la ley 39/2015</w:t>
            </w:r>
          </w:p>
        </w:tc>
      </w:tr>
      <w:tr w:rsidR="005475EC" w:rsidTr="003249EA">
        <w:trPr>
          <w:trHeight w:val="326"/>
        </w:trPr>
        <w:tc>
          <w:tcPr>
            <w:tcW w:w="2093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5475EC" w:rsidRPr="003249EA" w:rsidRDefault="005475EC" w:rsidP="00E46A66">
            <w:pPr>
              <w:jc w:val="center"/>
              <w:rPr>
                <w:b/>
                <w:sz w:val="32"/>
              </w:rPr>
            </w:pPr>
            <w:r w:rsidRPr="003249EA">
              <w:rPr>
                <w:b/>
                <w:sz w:val="32"/>
              </w:rPr>
              <w:t>Plazo</w:t>
            </w:r>
          </w:p>
        </w:tc>
        <w:tc>
          <w:tcPr>
            <w:tcW w:w="11907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5475EC" w:rsidRPr="003249EA" w:rsidRDefault="005475EC" w:rsidP="00E46A66">
            <w:pPr>
              <w:jc w:val="center"/>
              <w:rPr>
                <w:b/>
                <w:sz w:val="32"/>
              </w:rPr>
            </w:pPr>
            <w:r w:rsidRPr="003249EA">
              <w:rPr>
                <w:b/>
                <w:sz w:val="32"/>
              </w:rPr>
              <w:t>Contenido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5475EC" w:rsidRPr="003249EA" w:rsidRDefault="005475EC" w:rsidP="00E46A66">
            <w:pPr>
              <w:jc w:val="center"/>
              <w:rPr>
                <w:b/>
                <w:sz w:val="32"/>
              </w:rPr>
            </w:pPr>
            <w:r w:rsidRPr="003249EA">
              <w:rPr>
                <w:b/>
                <w:sz w:val="32"/>
              </w:rPr>
              <w:t>Artículo</w:t>
            </w:r>
          </w:p>
        </w:tc>
      </w:tr>
      <w:tr w:rsidR="005475EC" w:rsidRPr="005475EC" w:rsidTr="003249EA">
        <w:trPr>
          <w:trHeight w:val="81"/>
        </w:trPr>
        <w:tc>
          <w:tcPr>
            <w:tcW w:w="2093" w:type="dxa"/>
            <w:vMerge w:val="restart"/>
            <w:shd w:val="clear" w:color="auto" w:fill="DDD9C3" w:themeFill="background2" w:themeFillShade="E6"/>
            <w:vAlign w:val="center"/>
          </w:tcPr>
          <w:p w:rsidR="005475EC" w:rsidRPr="00A54DB2" w:rsidRDefault="005475EC" w:rsidP="003249EA">
            <w:pPr>
              <w:jc w:val="center"/>
              <w:rPr>
                <w:rFonts w:ascii="Bookman Old Style" w:hAnsi="Bookman Old Style"/>
                <w:b/>
                <w:color w:val="33CCCC"/>
                <w:sz w:val="48"/>
                <w:szCs w:val="48"/>
              </w:rPr>
            </w:pPr>
            <w:r w:rsidRPr="00A54DB2">
              <w:rPr>
                <w:rFonts w:ascii="Bookman Old Style" w:hAnsi="Bookman Old Style"/>
                <w:b/>
                <w:color w:val="33CCCC"/>
                <w:sz w:val="48"/>
                <w:szCs w:val="48"/>
              </w:rPr>
              <w:t>1 mes</w:t>
            </w:r>
          </w:p>
        </w:tc>
        <w:tc>
          <w:tcPr>
            <w:tcW w:w="11907" w:type="dxa"/>
            <w:shd w:val="clear" w:color="auto" w:fill="DDD9C3" w:themeFill="background2" w:themeFillShade="E6"/>
            <w:vAlign w:val="center"/>
          </w:tcPr>
          <w:p w:rsidR="005475EC" w:rsidRPr="00A54DB2" w:rsidRDefault="005475EC" w:rsidP="00E46A66">
            <w:pPr>
              <w:jc w:val="left"/>
              <w:rPr>
                <w:color w:val="33CCCC"/>
              </w:rPr>
            </w:pPr>
            <w:r w:rsidRPr="00A54DB2">
              <w:rPr>
                <w:color w:val="33CCCC"/>
              </w:rPr>
              <w:t xml:space="preserve">Suspensión ejecución del acto impugnado 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5475EC" w:rsidRPr="00A54DB2" w:rsidRDefault="005475EC" w:rsidP="00E46A66">
            <w:pPr>
              <w:jc w:val="center"/>
              <w:rPr>
                <w:color w:val="33CCCC"/>
              </w:rPr>
            </w:pPr>
            <w:r w:rsidRPr="00A54DB2">
              <w:rPr>
                <w:color w:val="33CCCC"/>
              </w:rPr>
              <w:t>Artículo 117.3</w:t>
            </w:r>
          </w:p>
        </w:tc>
      </w:tr>
      <w:tr w:rsidR="005475EC" w:rsidRPr="005475EC" w:rsidTr="003249EA">
        <w:trPr>
          <w:trHeight w:val="79"/>
        </w:trPr>
        <w:tc>
          <w:tcPr>
            <w:tcW w:w="2093" w:type="dxa"/>
            <w:vMerge/>
            <w:shd w:val="clear" w:color="auto" w:fill="DDD9C3" w:themeFill="background2" w:themeFillShade="E6"/>
            <w:vAlign w:val="center"/>
          </w:tcPr>
          <w:p w:rsidR="005475EC" w:rsidRPr="00A54DB2" w:rsidRDefault="005475EC" w:rsidP="003249EA">
            <w:pPr>
              <w:jc w:val="center"/>
              <w:rPr>
                <w:rFonts w:ascii="Bookman Old Style" w:hAnsi="Bookman Old Style"/>
                <w:b/>
                <w:color w:val="33CCCC"/>
                <w:sz w:val="48"/>
                <w:szCs w:val="48"/>
              </w:rPr>
            </w:pPr>
          </w:p>
        </w:tc>
        <w:tc>
          <w:tcPr>
            <w:tcW w:w="11907" w:type="dxa"/>
            <w:shd w:val="clear" w:color="auto" w:fill="DDD9C3" w:themeFill="background2" w:themeFillShade="E6"/>
            <w:vAlign w:val="center"/>
          </w:tcPr>
          <w:p w:rsidR="005475EC" w:rsidRPr="00A54DB2" w:rsidRDefault="005475EC" w:rsidP="00E46A66">
            <w:pPr>
              <w:jc w:val="left"/>
              <w:rPr>
                <w:color w:val="33CCCC"/>
              </w:rPr>
            </w:pPr>
            <w:r w:rsidRPr="00A54DB2">
              <w:rPr>
                <w:color w:val="33CCCC"/>
              </w:rPr>
              <w:t xml:space="preserve">Interposición recurso de alzada. 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5475EC" w:rsidRPr="00A54DB2" w:rsidRDefault="005475EC" w:rsidP="00E46A66">
            <w:pPr>
              <w:jc w:val="center"/>
              <w:rPr>
                <w:color w:val="33CCCC"/>
              </w:rPr>
            </w:pPr>
            <w:r w:rsidRPr="00A54DB2">
              <w:rPr>
                <w:color w:val="33CCCC"/>
              </w:rPr>
              <w:t>Artículo 122.1</w:t>
            </w:r>
          </w:p>
        </w:tc>
      </w:tr>
      <w:tr w:rsidR="005475EC" w:rsidRPr="005475EC" w:rsidTr="003249EA">
        <w:trPr>
          <w:trHeight w:val="79"/>
        </w:trPr>
        <w:tc>
          <w:tcPr>
            <w:tcW w:w="2093" w:type="dxa"/>
            <w:vMerge/>
            <w:shd w:val="clear" w:color="auto" w:fill="DDD9C3" w:themeFill="background2" w:themeFillShade="E6"/>
            <w:vAlign w:val="center"/>
          </w:tcPr>
          <w:p w:rsidR="005475EC" w:rsidRPr="00A54DB2" w:rsidRDefault="005475EC" w:rsidP="003249EA">
            <w:pPr>
              <w:jc w:val="center"/>
              <w:rPr>
                <w:rFonts w:ascii="Bookman Old Style" w:hAnsi="Bookman Old Style"/>
                <w:b/>
                <w:color w:val="33CCCC"/>
                <w:sz w:val="48"/>
                <w:szCs w:val="48"/>
              </w:rPr>
            </w:pPr>
          </w:p>
        </w:tc>
        <w:tc>
          <w:tcPr>
            <w:tcW w:w="11907" w:type="dxa"/>
            <w:shd w:val="clear" w:color="auto" w:fill="DDD9C3" w:themeFill="background2" w:themeFillShade="E6"/>
            <w:vAlign w:val="center"/>
          </w:tcPr>
          <w:p w:rsidR="005475EC" w:rsidRPr="00A54DB2" w:rsidRDefault="005475EC" w:rsidP="00E46A66">
            <w:pPr>
              <w:jc w:val="left"/>
              <w:rPr>
                <w:color w:val="33CCCC"/>
              </w:rPr>
            </w:pPr>
            <w:r w:rsidRPr="00A54DB2">
              <w:rPr>
                <w:color w:val="33CCCC"/>
              </w:rPr>
              <w:t>Interposición recurso de reposición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5475EC" w:rsidRPr="00A54DB2" w:rsidRDefault="005475EC" w:rsidP="00E46A66">
            <w:pPr>
              <w:jc w:val="center"/>
              <w:rPr>
                <w:color w:val="33CCCC"/>
              </w:rPr>
            </w:pPr>
            <w:r w:rsidRPr="00A54DB2">
              <w:rPr>
                <w:color w:val="33CCCC"/>
              </w:rPr>
              <w:t>Artículo124.1</w:t>
            </w:r>
          </w:p>
        </w:tc>
      </w:tr>
      <w:tr w:rsidR="005475EC" w:rsidRPr="005475EC" w:rsidTr="003249EA">
        <w:trPr>
          <w:trHeight w:val="79"/>
        </w:trPr>
        <w:tc>
          <w:tcPr>
            <w:tcW w:w="2093" w:type="dxa"/>
            <w:vMerge/>
            <w:shd w:val="clear" w:color="auto" w:fill="DDD9C3" w:themeFill="background2" w:themeFillShade="E6"/>
            <w:vAlign w:val="center"/>
          </w:tcPr>
          <w:p w:rsidR="005475EC" w:rsidRPr="00A54DB2" w:rsidRDefault="005475EC" w:rsidP="003249EA">
            <w:pPr>
              <w:jc w:val="center"/>
              <w:rPr>
                <w:rFonts w:ascii="Bookman Old Style" w:hAnsi="Bookman Old Style"/>
                <w:b/>
                <w:color w:val="33CCCC"/>
                <w:sz w:val="48"/>
                <w:szCs w:val="48"/>
              </w:rPr>
            </w:pPr>
          </w:p>
        </w:tc>
        <w:tc>
          <w:tcPr>
            <w:tcW w:w="11907" w:type="dxa"/>
            <w:shd w:val="clear" w:color="auto" w:fill="DDD9C3" w:themeFill="background2" w:themeFillShade="E6"/>
            <w:vAlign w:val="center"/>
          </w:tcPr>
          <w:p w:rsidR="005475EC" w:rsidRPr="00A54DB2" w:rsidRDefault="005475EC" w:rsidP="00E46A66">
            <w:pPr>
              <w:jc w:val="left"/>
              <w:rPr>
                <w:color w:val="33CCCC"/>
              </w:rPr>
            </w:pPr>
            <w:r w:rsidRPr="00A54DB2">
              <w:rPr>
                <w:color w:val="33CCCC"/>
              </w:rPr>
              <w:t xml:space="preserve">Plazo máximo para dictar y notificar resolución del recurso potestativo de revisión 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5475EC" w:rsidRPr="00A54DB2" w:rsidRDefault="005475EC" w:rsidP="00E46A66">
            <w:pPr>
              <w:jc w:val="center"/>
              <w:rPr>
                <w:color w:val="33CCCC"/>
              </w:rPr>
            </w:pPr>
            <w:r w:rsidRPr="00A54DB2">
              <w:rPr>
                <w:color w:val="33CCCC"/>
              </w:rPr>
              <w:t>Artículo 124.2</w:t>
            </w:r>
          </w:p>
        </w:tc>
      </w:tr>
      <w:tr w:rsidR="005475EC" w:rsidRPr="005475EC" w:rsidTr="003249EA">
        <w:trPr>
          <w:trHeight w:val="636"/>
        </w:trPr>
        <w:tc>
          <w:tcPr>
            <w:tcW w:w="2093" w:type="dxa"/>
            <w:vMerge w:val="restart"/>
            <w:shd w:val="clear" w:color="auto" w:fill="DDD9C3" w:themeFill="background2" w:themeFillShade="E6"/>
            <w:vAlign w:val="center"/>
          </w:tcPr>
          <w:p w:rsidR="005475EC" w:rsidRPr="00A54DB2" w:rsidRDefault="005475EC" w:rsidP="003249EA">
            <w:pPr>
              <w:jc w:val="center"/>
              <w:rPr>
                <w:rFonts w:ascii="Bookman Old Style" w:hAnsi="Bookman Old Style"/>
                <w:b/>
                <w:color w:val="FFFFFF"/>
                <w:sz w:val="48"/>
                <w:szCs w:val="48"/>
              </w:rPr>
            </w:pPr>
            <w:r w:rsidRPr="00A54DB2">
              <w:rPr>
                <w:rFonts w:ascii="Bookman Old Style" w:hAnsi="Bookman Old Style"/>
                <w:b/>
                <w:color w:val="FFFFFF"/>
                <w:sz w:val="48"/>
                <w:szCs w:val="48"/>
              </w:rPr>
              <w:t>2 meses</w:t>
            </w:r>
          </w:p>
        </w:tc>
        <w:tc>
          <w:tcPr>
            <w:tcW w:w="11907" w:type="dxa"/>
            <w:shd w:val="clear" w:color="auto" w:fill="DDD9C3" w:themeFill="background2" w:themeFillShade="E6"/>
            <w:vAlign w:val="center"/>
          </w:tcPr>
          <w:p w:rsidR="005475EC" w:rsidRPr="00A54DB2" w:rsidRDefault="005475EC" w:rsidP="00E46A66">
            <w:pPr>
              <w:jc w:val="left"/>
              <w:rPr>
                <w:color w:val="FFFFFF"/>
              </w:rPr>
            </w:pPr>
            <w:r w:rsidRPr="00A54DB2">
              <w:rPr>
                <w:color w:val="FFFFFF"/>
              </w:rPr>
              <w:t xml:space="preserve">Emisión dictámenes en procedimientos de responsabilidad patrimonial 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5475EC" w:rsidRPr="00A54DB2" w:rsidRDefault="003249EA" w:rsidP="00E46A66">
            <w:pPr>
              <w:jc w:val="center"/>
              <w:rPr>
                <w:color w:val="FFFFFF"/>
              </w:rPr>
            </w:pPr>
            <w:r w:rsidRPr="00A54DB2">
              <w:rPr>
                <w:color w:val="FFFFFF"/>
              </w:rPr>
              <w:t>Artículo 81.2</w:t>
            </w:r>
          </w:p>
        </w:tc>
      </w:tr>
      <w:tr w:rsidR="005475EC" w:rsidRPr="005475EC" w:rsidTr="003249EA">
        <w:trPr>
          <w:trHeight w:val="636"/>
        </w:trPr>
        <w:tc>
          <w:tcPr>
            <w:tcW w:w="2093" w:type="dxa"/>
            <w:vMerge/>
            <w:shd w:val="clear" w:color="auto" w:fill="DDD9C3" w:themeFill="background2" w:themeFillShade="E6"/>
            <w:vAlign w:val="center"/>
          </w:tcPr>
          <w:p w:rsidR="005475EC" w:rsidRPr="00A54DB2" w:rsidRDefault="005475EC" w:rsidP="003249EA">
            <w:pPr>
              <w:jc w:val="center"/>
              <w:rPr>
                <w:rFonts w:ascii="Bookman Old Style" w:hAnsi="Bookman Old Style"/>
                <w:b/>
                <w:color w:val="FFFFFF"/>
                <w:sz w:val="48"/>
                <w:szCs w:val="48"/>
              </w:rPr>
            </w:pPr>
          </w:p>
        </w:tc>
        <w:tc>
          <w:tcPr>
            <w:tcW w:w="11907" w:type="dxa"/>
            <w:shd w:val="clear" w:color="auto" w:fill="DDD9C3" w:themeFill="background2" w:themeFillShade="E6"/>
            <w:vAlign w:val="center"/>
          </w:tcPr>
          <w:p w:rsidR="005475EC" w:rsidRPr="00A54DB2" w:rsidRDefault="005475EC" w:rsidP="00E46A66">
            <w:pPr>
              <w:jc w:val="left"/>
              <w:rPr>
                <w:color w:val="FFFFFF"/>
              </w:rPr>
            </w:pPr>
            <w:r w:rsidRPr="00A54DB2">
              <w:rPr>
                <w:color w:val="FFFFFF"/>
              </w:rPr>
              <w:t xml:space="preserve">Informe del Consejo General del Poder Judicial 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5475EC" w:rsidRPr="00A54DB2" w:rsidRDefault="003249EA" w:rsidP="00E46A66">
            <w:pPr>
              <w:jc w:val="center"/>
              <w:rPr>
                <w:color w:val="FFFFFF"/>
              </w:rPr>
            </w:pPr>
            <w:r w:rsidRPr="00A54DB2">
              <w:rPr>
                <w:color w:val="FFFFFF"/>
              </w:rPr>
              <w:t>Artículo 81.3</w:t>
            </w:r>
          </w:p>
        </w:tc>
      </w:tr>
      <w:tr w:rsidR="003249EA" w:rsidRPr="005475EC" w:rsidTr="003249EA">
        <w:trPr>
          <w:trHeight w:val="603"/>
        </w:trPr>
        <w:tc>
          <w:tcPr>
            <w:tcW w:w="2093" w:type="dxa"/>
            <w:vMerge w:val="restart"/>
            <w:shd w:val="clear" w:color="auto" w:fill="DDD9C3" w:themeFill="background2" w:themeFillShade="E6"/>
            <w:vAlign w:val="center"/>
          </w:tcPr>
          <w:p w:rsidR="003249EA" w:rsidRPr="00A54DB2" w:rsidRDefault="003249EA" w:rsidP="003249EA">
            <w:pPr>
              <w:jc w:val="center"/>
              <w:rPr>
                <w:rFonts w:ascii="Bookman Old Style" w:hAnsi="Bookman Old Style"/>
                <w:b/>
                <w:color w:val="CC00CC"/>
                <w:sz w:val="48"/>
                <w:szCs w:val="48"/>
              </w:rPr>
            </w:pPr>
            <w:r w:rsidRPr="00A54DB2">
              <w:rPr>
                <w:rFonts w:ascii="Bookman Old Style" w:hAnsi="Bookman Old Style"/>
                <w:b/>
                <w:color w:val="CC00CC"/>
                <w:sz w:val="48"/>
                <w:szCs w:val="48"/>
              </w:rPr>
              <w:t>3 meses</w:t>
            </w:r>
          </w:p>
        </w:tc>
        <w:tc>
          <w:tcPr>
            <w:tcW w:w="11907" w:type="dxa"/>
            <w:shd w:val="clear" w:color="auto" w:fill="DDD9C3" w:themeFill="background2" w:themeFillShade="E6"/>
            <w:vAlign w:val="center"/>
          </w:tcPr>
          <w:p w:rsidR="003249EA" w:rsidRPr="00A54DB2" w:rsidRDefault="003249EA" w:rsidP="00E46A66">
            <w:pPr>
              <w:jc w:val="left"/>
              <w:rPr>
                <w:color w:val="CC00CC"/>
              </w:rPr>
            </w:pPr>
            <w:r w:rsidRPr="00A54DB2">
              <w:rPr>
                <w:color w:val="CC00CC"/>
              </w:rPr>
              <w:t>Plazo máximo para notificar resolución cuando las normas del procedimiento no fijen plazo máximo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3249EA" w:rsidRPr="00A54DB2" w:rsidRDefault="003249EA" w:rsidP="00E46A66">
            <w:pPr>
              <w:rPr>
                <w:color w:val="CC00CC"/>
              </w:rPr>
            </w:pPr>
            <w:r w:rsidRPr="00A54DB2">
              <w:rPr>
                <w:color w:val="CC00CC"/>
              </w:rPr>
              <w:t>Artículo 21.3</w:t>
            </w:r>
          </w:p>
        </w:tc>
      </w:tr>
      <w:tr w:rsidR="003249EA" w:rsidRPr="005475EC" w:rsidTr="003249EA">
        <w:trPr>
          <w:trHeight w:val="602"/>
        </w:trPr>
        <w:tc>
          <w:tcPr>
            <w:tcW w:w="2093" w:type="dxa"/>
            <w:vMerge/>
            <w:shd w:val="clear" w:color="auto" w:fill="DDD9C3" w:themeFill="background2" w:themeFillShade="E6"/>
            <w:vAlign w:val="center"/>
          </w:tcPr>
          <w:p w:rsidR="003249EA" w:rsidRPr="00A54DB2" w:rsidRDefault="003249EA" w:rsidP="003249EA">
            <w:pPr>
              <w:jc w:val="center"/>
              <w:rPr>
                <w:rFonts w:ascii="Bookman Old Style" w:hAnsi="Bookman Old Style"/>
                <w:b/>
                <w:color w:val="CC00CC"/>
                <w:sz w:val="48"/>
                <w:szCs w:val="48"/>
              </w:rPr>
            </w:pPr>
          </w:p>
        </w:tc>
        <w:tc>
          <w:tcPr>
            <w:tcW w:w="11907" w:type="dxa"/>
            <w:shd w:val="clear" w:color="auto" w:fill="DDD9C3" w:themeFill="background2" w:themeFillShade="E6"/>
            <w:vAlign w:val="center"/>
          </w:tcPr>
          <w:p w:rsidR="003249EA" w:rsidRPr="00A54DB2" w:rsidRDefault="003249EA" w:rsidP="00E46A66">
            <w:pPr>
              <w:jc w:val="left"/>
              <w:rPr>
                <w:color w:val="CC00CC"/>
              </w:rPr>
            </w:pPr>
            <w:r w:rsidRPr="00A54DB2">
              <w:rPr>
                <w:color w:val="CC00CC"/>
              </w:rPr>
              <w:t>Suspensión plazo máximo para resolver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3249EA" w:rsidRPr="00A54DB2" w:rsidRDefault="003249EA" w:rsidP="00E46A66">
            <w:pPr>
              <w:rPr>
                <w:color w:val="CC00CC"/>
              </w:rPr>
            </w:pPr>
            <w:r w:rsidRPr="00A54DB2">
              <w:rPr>
                <w:color w:val="CC00CC"/>
              </w:rPr>
              <w:t>Artículo 22.1</w:t>
            </w:r>
          </w:p>
        </w:tc>
      </w:tr>
      <w:tr w:rsidR="003249EA" w:rsidRPr="005475EC" w:rsidTr="003249EA">
        <w:trPr>
          <w:trHeight w:val="602"/>
        </w:trPr>
        <w:tc>
          <w:tcPr>
            <w:tcW w:w="2093" w:type="dxa"/>
            <w:vMerge/>
            <w:shd w:val="clear" w:color="auto" w:fill="DDD9C3" w:themeFill="background2" w:themeFillShade="E6"/>
            <w:vAlign w:val="center"/>
          </w:tcPr>
          <w:p w:rsidR="003249EA" w:rsidRPr="00A54DB2" w:rsidRDefault="003249EA" w:rsidP="003249EA">
            <w:pPr>
              <w:jc w:val="center"/>
              <w:rPr>
                <w:rFonts w:ascii="Bookman Old Style" w:hAnsi="Bookman Old Style"/>
                <w:b/>
                <w:color w:val="CC00CC"/>
                <w:sz w:val="48"/>
                <w:szCs w:val="48"/>
              </w:rPr>
            </w:pPr>
          </w:p>
        </w:tc>
        <w:tc>
          <w:tcPr>
            <w:tcW w:w="11907" w:type="dxa"/>
            <w:shd w:val="clear" w:color="auto" w:fill="DDD9C3" w:themeFill="background2" w:themeFillShade="E6"/>
            <w:vAlign w:val="center"/>
          </w:tcPr>
          <w:p w:rsidR="003249EA" w:rsidRPr="00A54DB2" w:rsidRDefault="003249EA" w:rsidP="00E46A66">
            <w:pPr>
              <w:jc w:val="left"/>
              <w:rPr>
                <w:color w:val="CC00CC"/>
              </w:rPr>
            </w:pPr>
            <w:r w:rsidRPr="00A54DB2">
              <w:rPr>
                <w:color w:val="CC00CC"/>
              </w:rPr>
              <w:t>Caducidad del procedimiento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3249EA" w:rsidRPr="00A54DB2" w:rsidRDefault="003249EA" w:rsidP="00E46A66">
            <w:pPr>
              <w:rPr>
                <w:color w:val="CC00CC"/>
              </w:rPr>
            </w:pPr>
            <w:r w:rsidRPr="00A54DB2">
              <w:rPr>
                <w:color w:val="CC00CC"/>
              </w:rPr>
              <w:t xml:space="preserve">Artículo 95.1 </w:t>
            </w:r>
          </w:p>
        </w:tc>
      </w:tr>
      <w:tr w:rsidR="003249EA" w:rsidRPr="005475EC" w:rsidTr="003249EA">
        <w:trPr>
          <w:trHeight w:val="602"/>
        </w:trPr>
        <w:tc>
          <w:tcPr>
            <w:tcW w:w="2093" w:type="dxa"/>
            <w:vMerge/>
            <w:shd w:val="clear" w:color="auto" w:fill="DDD9C3" w:themeFill="background2" w:themeFillShade="E6"/>
            <w:vAlign w:val="center"/>
          </w:tcPr>
          <w:p w:rsidR="003249EA" w:rsidRPr="00A54DB2" w:rsidRDefault="003249EA" w:rsidP="003249EA">
            <w:pPr>
              <w:jc w:val="center"/>
              <w:rPr>
                <w:rFonts w:ascii="Bookman Old Style" w:hAnsi="Bookman Old Style"/>
                <w:b/>
                <w:color w:val="CC00CC"/>
                <w:sz w:val="48"/>
                <w:szCs w:val="48"/>
              </w:rPr>
            </w:pPr>
          </w:p>
        </w:tc>
        <w:tc>
          <w:tcPr>
            <w:tcW w:w="11907" w:type="dxa"/>
            <w:shd w:val="clear" w:color="auto" w:fill="DDD9C3" w:themeFill="background2" w:themeFillShade="E6"/>
            <w:vAlign w:val="center"/>
          </w:tcPr>
          <w:p w:rsidR="003249EA" w:rsidRPr="00A54DB2" w:rsidRDefault="003249EA" w:rsidP="00E46A66">
            <w:pPr>
              <w:jc w:val="left"/>
              <w:rPr>
                <w:color w:val="CC00CC"/>
              </w:rPr>
            </w:pPr>
            <w:r w:rsidRPr="00A54DB2">
              <w:rPr>
                <w:color w:val="CC00CC"/>
              </w:rPr>
              <w:t xml:space="preserve">El plazo máximo para dictar y notificar resolución del recurso de alzada. 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3249EA" w:rsidRPr="00A54DB2" w:rsidRDefault="003249EA" w:rsidP="00E46A66">
            <w:pPr>
              <w:rPr>
                <w:color w:val="CC00CC"/>
              </w:rPr>
            </w:pPr>
            <w:r w:rsidRPr="00A54DB2">
              <w:rPr>
                <w:color w:val="CC00CC"/>
              </w:rPr>
              <w:t>Artículo 122.2</w:t>
            </w:r>
          </w:p>
        </w:tc>
      </w:tr>
      <w:tr w:rsidR="003249EA" w:rsidRPr="005475EC" w:rsidTr="003249EA">
        <w:trPr>
          <w:trHeight w:val="602"/>
        </w:trPr>
        <w:tc>
          <w:tcPr>
            <w:tcW w:w="2093" w:type="dxa"/>
            <w:vMerge/>
            <w:shd w:val="clear" w:color="auto" w:fill="DDD9C3" w:themeFill="background2" w:themeFillShade="E6"/>
            <w:vAlign w:val="center"/>
          </w:tcPr>
          <w:p w:rsidR="003249EA" w:rsidRPr="00A54DB2" w:rsidRDefault="003249EA" w:rsidP="003249EA">
            <w:pPr>
              <w:jc w:val="center"/>
              <w:rPr>
                <w:rFonts w:ascii="Bookman Old Style" w:hAnsi="Bookman Old Style"/>
                <w:b/>
                <w:color w:val="CC00CC"/>
                <w:sz w:val="48"/>
                <w:szCs w:val="48"/>
              </w:rPr>
            </w:pPr>
          </w:p>
        </w:tc>
        <w:tc>
          <w:tcPr>
            <w:tcW w:w="11907" w:type="dxa"/>
            <w:shd w:val="clear" w:color="auto" w:fill="DDD9C3" w:themeFill="background2" w:themeFillShade="E6"/>
            <w:vAlign w:val="center"/>
          </w:tcPr>
          <w:p w:rsidR="003249EA" w:rsidRPr="00A54DB2" w:rsidRDefault="003249EA" w:rsidP="00E46A66">
            <w:pPr>
              <w:jc w:val="left"/>
              <w:rPr>
                <w:color w:val="CC00CC"/>
              </w:rPr>
            </w:pPr>
            <w:r w:rsidRPr="00A54DB2">
              <w:rPr>
                <w:color w:val="CC00CC"/>
              </w:rPr>
              <w:t xml:space="preserve">Desestimación recurso extraordinario de revisión por no haberse dictado y notificado resolución. 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3249EA" w:rsidRPr="00A54DB2" w:rsidRDefault="003249EA" w:rsidP="00E46A66">
            <w:pPr>
              <w:rPr>
                <w:color w:val="CC00CC"/>
              </w:rPr>
            </w:pPr>
            <w:r w:rsidRPr="00A54DB2">
              <w:rPr>
                <w:color w:val="CC00CC"/>
              </w:rPr>
              <w:t>Artículo 126.3</w:t>
            </w:r>
          </w:p>
        </w:tc>
      </w:tr>
      <w:tr w:rsidR="003249EA" w:rsidRPr="005475EC" w:rsidTr="003249EA">
        <w:trPr>
          <w:trHeight w:val="353"/>
        </w:trPr>
        <w:tc>
          <w:tcPr>
            <w:tcW w:w="2093" w:type="dxa"/>
            <w:vMerge w:val="restart"/>
            <w:shd w:val="clear" w:color="auto" w:fill="DDD9C3" w:themeFill="background2" w:themeFillShade="E6"/>
            <w:vAlign w:val="center"/>
          </w:tcPr>
          <w:p w:rsidR="003249EA" w:rsidRPr="00A54DB2" w:rsidRDefault="003249EA" w:rsidP="003249EA">
            <w:pPr>
              <w:jc w:val="center"/>
              <w:rPr>
                <w:rFonts w:ascii="Bookman Old Style" w:hAnsi="Bookman Old Style"/>
                <w:b/>
                <w:color w:val="FF9900"/>
                <w:sz w:val="48"/>
                <w:szCs w:val="48"/>
              </w:rPr>
            </w:pPr>
            <w:r w:rsidRPr="00A54DB2">
              <w:rPr>
                <w:rFonts w:ascii="Bookman Old Style" w:hAnsi="Bookman Old Style"/>
                <w:b/>
                <w:color w:val="FF9900"/>
                <w:sz w:val="48"/>
                <w:szCs w:val="48"/>
              </w:rPr>
              <w:t>6 meses</w:t>
            </w:r>
          </w:p>
        </w:tc>
        <w:tc>
          <w:tcPr>
            <w:tcW w:w="11907" w:type="dxa"/>
            <w:shd w:val="clear" w:color="auto" w:fill="DDD9C3" w:themeFill="background2" w:themeFillShade="E6"/>
            <w:vAlign w:val="center"/>
          </w:tcPr>
          <w:p w:rsidR="003249EA" w:rsidRPr="00A54DB2" w:rsidRDefault="003249EA" w:rsidP="00E46A66">
            <w:pPr>
              <w:jc w:val="left"/>
              <w:rPr>
                <w:rFonts w:cs="Times New Roman"/>
                <w:color w:val="FF9900"/>
              </w:rPr>
            </w:pPr>
            <w:r w:rsidRPr="00A54DB2">
              <w:rPr>
                <w:rFonts w:cs="Times New Roman"/>
                <w:color w:val="FF9900"/>
              </w:rPr>
              <w:t xml:space="preserve">Notificación de resolución expresa 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3249EA" w:rsidRPr="00A54DB2" w:rsidRDefault="003249EA" w:rsidP="00E46A66">
            <w:pPr>
              <w:rPr>
                <w:rFonts w:cs="Times New Roman"/>
                <w:color w:val="FF9900"/>
              </w:rPr>
            </w:pPr>
            <w:r w:rsidRPr="00A54DB2">
              <w:rPr>
                <w:rFonts w:cs="Times New Roman"/>
                <w:color w:val="FF9900"/>
              </w:rPr>
              <w:t>Artículo 21.2</w:t>
            </w:r>
          </w:p>
        </w:tc>
      </w:tr>
      <w:tr w:rsidR="003249EA" w:rsidRPr="005475EC" w:rsidTr="003249EA">
        <w:trPr>
          <w:trHeight w:val="350"/>
        </w:trPr>
        <w:tc>
          <w:tcPr>
            <w:tcW w:w="2093" w:type="dxa"/>
            <w:vMerge/>
            <w:shd w:val="clear" w:color="auto" w:fill="DDD9C3" w:themeFill="background2" w:themeFillShade="E6"/>
            <w:vAlign w:val="center"/>
          </w:tcPr>
          <w:p w:rsidR="003249EA" w:rsidRPr="00A54DB2" w:rsidRDefault="003249EA" w:rsidP="00E46A66">
            <w:pPr>
              <w:jc w:val="left"/>
              <w:rPr>
                <w:rFonts w:ascii="Bookman Old Style" w:hAnsi="Bookman Old Style"/>
                <w:b/>
                <w:color w:val="FF9900"/>
                <w:sz w:val="48"/>
              </w:rPr>
            </w:pPr>
          </w:p>
        </w:tc>
        <w:tc>
          <w:tcPr>
            <w:tcW w:w="11907" w:type="dxa"/>
            <w:shd w:val="clear" w:color="auto" w:fill="DDD9C3" w:themeFill="background2" w:themeFillShade="E6"/>
            <w:vAlign w:val="center"/>
          </w:tcPr>
          <w:p w:rsidR="003249EA" w:rsidRPr="00A54DB2" w:rsidRDefault="003249EA" w:rsidP="003249EA">
            <w:pPr>
              <w:rPr>
                <w:rFonts w:cs="Times New Roman"/>
                <w:color w:val="FF9900"/>
              </w:rPr>
            </w:pPr>
            <w:r w:rsidRPr="00A54DB2">
              <w:rPr>
                <w:rFonts w:cs="Times New Roman"/>
                <w:color w:val="FF9900"/>
              </w:rPr>
              <w:t>Desde que se inició el procedimiento sin que haya recaído y se notifique resolución expresa o, en su caso, se haya formalizado el acuerdo, podrá entenderse que la resolución es contraria a la indemnización del particular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3249EA" w:rsidRPr="00A54DB2" w:rsidRDefault="003249EA" w:rsidP="00E46A66">
            <w:pPr>
              <w:rPr>
                <w:rFonts w:cs="Times New Roman"/>
                <w:color w:val="FF9900"/>
              </w:rPr>
            </w:pPr>
            <w:r w:rsidRPr="00A54DB2">
              <w:rPr>
                <w:rFonts w:cs="Times New Roman"/>
                <w:color w:val="FF9900"/>
              </w:rPr>
              <w:t>Artículo 91.3</w:t>
            </w:r>
          </w:p>
        </w:tc>
      </w:tr>
      <w:tr w:rsidR="003249EA" w:rsidRPr="005475EC" w:rsidTr="003249EA">
        <w:trPr>
          <w:trHeight w:val="350"/>
        </w:trPr>
        <w:tc>
          <w:tcPr>
            <w:tcW w:w="2093" w:type="dxa"/>
            <w:vMerge/>
            <w:shd w:val="clear" w:color="auto" w:fill="DDD9C3" w:themeFill="background2" w:themeFillShade="E6"/>
            <w:vAlign w:val="center"/>
          </w:tcPr>
          <w:p w:rsidR="003249EA" w:rsidRPr="00A54DB2" w:rsidRDefault="003249EA" w:rsidP="00E46A66">
            <w:pPr>
              <w:jc w:val="left"/>
              <w:rPr>
                <w:rFonts w:ascii="Bookman Old Style" w:hAnsi="Bookman Old Style"/>
                <w:b/>
                <w:color w:val="FF9900"/>
                <w:sz w:val="48"/>
              </w:rPr>
            </w:pPr>
          </w:p>
        </w:tc>
        <w:tc>
          <w:tcPr>
            <w:tcW w:w="11907" w:type="dxa"/>
            <w:shd w:val="clear" w:color="auto" w:fill="DDD9C3" w:themeFill="background2" w:themeFillShade="E6"/>
            <w:vAlign w:val="center"/>
          </w:tcPr>
          <w:p w:rsidR="003249EA" w:rsidRPr="00A54DB2" w:rsidRDefault="003249EA" w:rsidP="00E46A66">
            <w:pPr>
              <w:jc w:val="left"/>
              <w:rPr>
                <w:rFonts w:cs="Times New Roman"/>
                <w:color w:val="FF9900"/>
              </w:rPr>
            </w:pPr>
            <w:r w:rsidRPr="00A54DB2">
              <w:rPr>
                <w:rFonts w:cs="Times New Roman"/>
                <w:color w:val="FF9900"/>
              </w:rPr>
              <w:t>Caducidad del procedimiento de revisión de disposiciones y actos nulos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3249EA" w:rsidRPr="00A54DB2" w:rsidRDefault="003249EA" w:rsidP="00E46A66">
            <w:pPr>
              <w:rPr>
                <w:rFonts w:cs="Times New Roman"/>
                <w:color w:val="FF9900"/>
              </w:rPr>
            </w:pPr>
            <w:r w:rsidRPr="00A54DB2">
              <w:rPr>
                <w:rFonts w:cs="Times New Roman"/>
                <w:color w:val="FF9900"/>
              </w:rPr>
              <w:t>Artículo 106.5</w:t>
            </w:r>
          </w:p>
        </w:tc>
      </w:tr>
      <w:tr w:rsidR="003249EA" w:rsidRPr="005475EC" w:rsidTr="003249EA">
        <w:trPr>
          <w:trHeight w:val="350"/>
        </w:trPr>
        <w:tc>
          <w:tcPr>
            <w:tcW w:w="2093" w:type="dxa"/>
            <w:vMerge/>
            <w:shd w:val="clear" w:color="auto" w:fill="DDD9C3" w:themeFill="background2" w:themeFillShade="E6"/>
            <w:vAlign w:val="center"/>
          </w:tcPr>
          <w:p w:rsidR="003249EA" w:rsidRPr="00A54DB2" w:rsidRDefault="003249EA" w:rsidP="00E46A66">
            <w:pPr>
              <w:jc w:val="left"/>
              <w:rPr>
                <w:rFonts w:ascii="Bookman Old Style" w:hAnsi="Bookman Old Style"/>
                <w:b/>
                <w:color w:val="FF9900"/>
                <w:sz w:val="48"/>
              </w:rPr>
            </w:pPr>
          </w:p>
        </w:tc>
        <w:tc>
          <w:tcPr>
            <w:tcW w:w="11907" w:type="dxa"/>
            <w:shd w:val="clear" w:color="auto" w:fill="DDD9C3" w:themeFill="background2" w:themeFillShade="E6"/>
            <w:vAlign w:val="center"/>
          </w:tcPr>
          <w:p w:rsidR="003249EA" w:rsidRPr="00A54DB2" w:rsidRDefault="003249EA" w:rsidP="00E46A66">
            <w:pPr>
              <w:jc w:val="left"/>
              <w:rPr>
                <w:rFonts w:cs="Times New Roman"/>
                <w:color w:val="FF9900"/>
              </w:rPr>
            </w:pPr>
            <w:r w:rsidRPr="00A54DB2">
              <w:rPr>
                <w:rFonts w:cs="Times New Roman"/>
                <w:color w:val="FF9900"/>
              </w:rPr>
              <w:t xml:space="preserve">Caducidad del </w:t>
            </w:r>
            <w:r w:rsidR="00A54DB2" w:rsidRPr="00A54DB2">
              <w:rPr>
                <w:rFonts w:cs="Times New Roman"/>
                <w:color w:val="FF9900"/>
              </w:rPr>
              <w:t>procedimiento</w:t>
            </w:r>
            <w:r w:rsidRPr="00A54DB2">
              <w:rPr>
                <w:rFonts w:cs="Times New Roman"/>
                <w:color w:val="FF9900"/>
              </w:rPr>
              <w:t xml:space="preserve"> de declaración de lesividad de actos anulables 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3249EA" w:rsidRPr="00A54DB2" w:rsidRDefault="003249EA" w:rsidP="00E46A66">
            <w:pPr>
              <w:rPr>
                <w:rFonts w:cs="Times New Roman"/>
                <w:color w:val="FF9900"/>
              </w:rPr>
            </w:pPr>
            <w:r w:rsidRPr="00A54DB2">
              <w:rPr>
                <w:rFonts w:cs="Times New Roman"/>
                <w:color w:val="FF9900"/>
              </w:rPr>
              <w:t xml:space="preserve">Artículo 107.3 </w:t>
            </w:r>
          </w:p>
        </w:tc>
      </w:tr>
    </w:tbl>
    <w:p w:rsidR="005475EC" w:rsidRDefault="005475EC"/>
    <w:tbl>
      <w:tblPr>
        <w:tblStyle w:val="Tablaconcuadrcula"/>
        <w:tblW w:w="15701" w:type="dxa"/>
        <w:tblCellMar>
          <w:top w:w="57" w:type="dxa"/>
          <w:bottom w:w="57" w:type="dxa"/>
        </w:tblCellMar>
        <w:tblLook w:val="04A0"/>
      </w:tblPr>
      <w:tblGrid>
        <w:gridCol w:w="2093"/>
        <w:gridCol w:w="11907"/>
        <w:gridCol w:w="1701"/>
      </w:tblGrid>
      <w:tr w:rsidR="003249EA" w:rsidRPr="00CB51A7" w:rsidTr="00E46A66">
        <w:tc>
          <w:tcPr>
            <w:tcW w:w="15701" w:type="dxa"/>
            <w:gridSpan w:val="3"/>
            <w:shd w:val="clear" w:color="auto" w:fill="D99594" w:themeFill="accent2" w:themeFillTint="99"/>
          </w:tcPr>
          <w:p w:rsidR="003249EA" w:rsidRPr="00CB51A7" w:rsidRDefault="003249EA" w:rsidP="00E46A66">
            <w:pPr>
              <w:jc w:val="center"/>
              <w:rPr>
                <w:rFonts w:ascii="Baskerville Old Face" w:hAnsi="Baskerville Old Face"/>
                <w:b/>
                <w:sz w:val="32"/>
              </w:rPr>
            </w:pPr>
            <w:r w:rsidRPr="00CB51A7">
              <w:rPr>
                <w:rFonts w:ascii="Baskerville Old Face" w:hAnsi="Baskerville Old Face"/>
                <w:b/>
                <w:sz w:val="32"/>
              </w:rPr>
              <w:lastRenderedPageBreak/>
              <w:t>Plazos de la ley 39/2015</w:t>
            </w:r>
          </w:p>
        </w:tc>
      </w:tr>
      <w:tr w:rsidR="003249EA" w:rsidTr="00E46A66">
        <w:trPr>
          <w:trHeight w:val="326"/>
        </w:trPr>
        <w:tc>
          <w:tcPr>
            <w:tcW w:w="2093" w:type="dxa"/>
            <w:shd w:val="clear" w:color="auto" w:fill="D99594" w:themeFill="accent2" w:themeFillTint="99"/>
          </w:tcPr>
          <w:p w:rsidR="003249EA" w:rsidRDefault="003249EA" w:rsidP="00E46A66">
            <w:pPr>
              <w:jc w:val="center"/>
            </w:pPr>
            <w:r>
              <w:t>Plazo</w:t>
            </w:r>
          </w:p>
        </w:tc>
        <w:tc>
          <w:tcPr>
            <w:tcW w:w="11907" w:type="dxa"/>
            <w:shd w:val="clear" w:color="auto" w:fill="D99594" w:themeFill="accent2" w:themeFillTint="99"/>
          </w:tcPr>
          <w:p w:rsidR="003249EA" w:rsidRDefault="003249EA" w:rsidP="00E46A66">
            <w:pPr>
              <w:jc w:val="center"/>
            </w:pPr>
            <w:r>
              <w:t>Contenido</w:t>
            </w:r>
          </w:p>
        </w:tc>
        <w:tc>
          <w:tcPr>
            <w:tcW w:w="1701" w:type="dxa"/>
            <w:shd w:val="clear" w:color="auto" w:fill="D99594" w:themeFill="accent2" w:themeFillTint="99"/>
          </w:tcPr>
          <w:p w:rsidR="003249EA" w:rsidRDefault="003249EA" w:rsidP="00E46A66">
            <w:pPr>
              <w:jc w:val="center"/>
            </w:pPr>
            <w:r>
              <w:t>Artículo</w:t>
            </w:r>
          </w:p>
        </w:tc>
      </w:tr>
      <w:tr w:rsidR="003249EA" w:rsidRPr="005475EC" w:rsidTr="00E46A66">
        <w:trPr>
          <w:trHeight w:val="81"/>
        </w:trPr>
        <w:tc>
          <w:tcPr>
            <w:tcW w:w="2093" w:type="dxa"/>
            <w:vMerge w:val="restart"/>
            <w:vAlign w:val="center"/>
          </w:tcPr>
          <w:p w:rsidR="003249EA" w:rsidRPr="00A54DB2" w:rsidRDefault="003249EA" w:rsidP="003249EA">
            <w:pPr>
              <w:jc w:val="center"/>
              <w:rPr>
                <w:rFonts w:ascii="Bookman Old Style" w:hAnsi="Bookman Old Style"/>
                <w:b/>
                <w:sz w:val="48"/>
                <w:szCs w:val="48"/>
                <w:highlight w:val="cyan"/>
              </w:rPr>
            </w:pPr>
            <w:r w:rsidRPr="00A54DB2">
              <w:rPr>
                <w:rFonts w:ascii="Bookman Old Style" w:hAnsi="Bookman Old Style"/>
                <w:b/>
                <w:sz w:val="48"/>
                <w:szCs w:val="48"/>
                <w:highlight w:val="cyan"/>
              </w:rPr>
              <w:t>4 años</w:t>
            </w:r>
          </w:p>
        </w:tc>
        <w:tc>
          <w:tcPr>
            <w:tcW w:w="11907" w:type="dxa"/>
            <w:vAlign w:val="center"/>
          </w:tcPr>
          <w:p w:rsidR="003249EA" w:rsidRPr="00A54DB2" w:rsidRDefault="003249EA" w:rsidP="00E46A66">
            <w:pPr>
              <w:jc w:val="left"/>
              <w:rPr>
                <w:highlight w:val="cyan"/>
              </w:rPr>
            </w:pPr>
            <w:r w:rsidRPr="00A54DB2">
              <w:rPr>
                <w:highlight w:val="cyan"/>
              </w:rPr>
              <w:t xml:space="preserve">Interposición recurso extraordinario de revisión en el supuesto A) </w:t>
            </w:r>
          </w:p>
        </w:tc>
        <w:tc>
          <w:tcPr>
            <w:tcW w:w="1701" w:type="dxa"/>
            <w:vAlign w:val="center"/>
          </w:tcPr>
          <w:p w:rsidR="003249EA" w:rsidRPr="00A54DB2" w:rsidRDefault="003249EA" w:rsidP="003249EA">
            <w:pPr>
              <w:jc w:val="center"/>
              <w:rPr>
                <w:highlight w:val="cyan"/>
              </w:rPr>
            </w:pPr>
            <w:r w:rsidRPr="00A54DB2">
              <w:rPr>
                <w:highlight w:val="cyan"/>
              </w:rPr>
              <w:t>Artículo 125.2</w:t>
            </w:r>
          </w:p>
        </w:tc>
      </w:tr>
      <w:tr w:rsidR="003249EA" w:rsidRPr="005475EC" w:rsidTr="00E46A66">
        <w:trPr>
          <w:trHeight w:val="79"/>
        </w:trPr>
        <w:tc>
          <w:tcPr>
            <w:tcW w:w="2093" w:type="dxa"/>
            <w:vMerge/>
            <w:vAlign w:val="center"/>
          </w:tcPr>
          <w:p w:rsidR="003249EA" w:rsidRPr="00A54DB2" w:rsidRDefault="003249EA" w:rsidP="00E46A66">
            <w:pPr>
              <w:jc w:val="left"/>
              <w:rPr>
                <w:rFonts w:ascii="Bookman Old Style" w:hAnsi="Bookman Old Style"/>
                <w:b/>
                <w:sz w:val="48"/>
                <w:szCs w:val="48"/>
                <w:highlight w:val="cyan"/>
              </w:rPr>
            </w:pPr>
          </w:p>
        </w:tc>
        <w:tc>
          <w:tcPr>
            <w:tcW w:w="11907" w:type="dxa"/>
            <w:vAlign w:val="center"/>
          </w:tcPr>
          <w:p w:rsidR="003249EA" w:rsidRPr="00A54DB2" w:rsidRDefault="003249EA" w:rsidP="00E46A66">
            <w:pPr>
              <w:jc w:val="left"/>
              <w:rPr>
                <w:highlight w:val="cyan"/>
              </w:rPr>
            </w:pPr>
            <w:r w:rsidRPr="00A54DB2">
              <w:rPr>
                <w:highlight w:val="cyan"/>
              </w:rPr>
              <w:t>Plazo máximo para declarar lesividad</w:t>
            </w:r>
          </w:p>
        </w:tc>
        <w:tc>
          <w:tcPr>
            <w:tcW w:w="1701" w:type="dxa"/>
            <w:vAlign w:val="center"/>
          </w:tcPr>
          <w:p w:rsidR="003249EA" w:rsidRPr="00A54DB2" w:rsidRDefault="003249EA" w:rsidP="003249EA">
            <w:pPr>
              <w:jc w:val="center"/>
              <w:rPr>
                <w:highlight w:val="cyan"/>
              </w:rPr>
            </w:pPr>
            <w:r w:rsidRPr="00A54DB2">
              <w:rPr>
                <w:highlight w:val="cyan"/>
              </w:rPr>
              <w:t>Artículo 107.2</w:t>
            </w:r>
          </w:p>
        </w:tc>
      </w:tr>
      <w:tr w:rsidR="003249EA" w:rsidRPr="005475EC" w:rsidTr="00E46A66">
        <w:trPr>
          <w:trHeight w:val="636"/>
        </w:trPr>
        <w:tc>
          <w:tcPr>
            <w:tcW w:w="2093" w:type="dxa"/>
            <w:vMerge w:val="restart"/>
            <w:vAlign w:val="center"/>
          </w:tcPr>
          <w:p w:rsidR="003249EA" w:rsidRPr="00A54DB2" w:rsidRDefault="003249EA" w:rsidP="003249EA">
            <w:pPr>
              <w:jc w:val="left"/>
              <w:rPr>
                <w:rFonts w:ascii="Bookman Old Style" w:hAnsi="Bookman Old Style"/>
                <w:b/>
                <w:sz w:val="48"/>
                <w:szCs w:val="48"/>
                <w:highlight w:val="magenta"/>
              </w:rPr>
            </w:pPr>
            <w:r w:rsidRPr="00A54DB2">
              <w:rPr>
                <w:rFonts w:ascii="Bookman Old Style" w:hAnsi="Bookman Old Style"/>
                <w:b/>
                <w:sz w:val="48"/>
                <w:szCs w:val="48"/>
                <w:highlight w:val="magenta"/>
              </w:rPr>
              <w:t xml:space="preserve">5 años  </w:t>
            </w:r>
          </w:p>
        </w:tc>
        <w:tc>
          <w:tcPr>
            <w:tcW w:w="11907" w:type="dxa"/>
            <w:vAlign w:val="center"/>
          </w:tcPr>
          <w:p w:rsidR="003249EA" w:rsidRPr="00A54DB2" w:rsidRDefault="003249EA" w:rsidP="00E46A66">
            <w:pPr>
              <w:jc w:val="left"/>
              <w:rPr>
                <w:highlight w:val="magenta"/>
              </w:rPr>
            </w:pPr>
            <w:r w:rsidRPr="00A54DB2">
              <w:rPr>
                <w:highlight w:val="magenta"/>
              </w:rPr>
              <w:t xml:space="preserve">Validez máxima poderes inscritos en el registro. </w:t>
            </w:r>
          </w:p>
        </w:tc>
        <w:tc>
          <w:tcPr>
            <w:tcW w:w="1701" w:type="dxa"/>
            <w:vAlign w:val="center"/>
          </w:tcPr>
          <w:p w:rsidR="003249EA" w:rsidRPr="00A54DB2" w:rsidRDefault="003249EA" w:rsidP="003249EA">
            <w:pPr>
              <w:jc w:val="center"/>
              <w:rPr>
                <w:highlight w:val="magenta"/>
              </w:rPr>
            </w:pPr>
            <w:r w:rsidRPr="00A54DB2">
              <w:rPr>
                <w:highlight w:val="magenta"/>
              </w:rPr>
              <w:t>Artículo 6.6</w:t>
            </w:r>
          </w:p>
        </w:tc>
      </w:tr>
      <w:tr w:rsidR="003249EA" w:rsidRPr="005475EC" w:rsidTr="00E46A66">
        <w:trPr>
          <w:trHeight w:val="636"/>
        </w:trPr>
        <w:tc>
          <w:tcPr>
            <w:tcW w:w="2093" w:type="dxa"/>
            <w:vMerge/>
            <w:vAlign w:val="center"/>
          </w:tcPr>
          <w:p w:rsidR="003249EA" w:rsidRPr="00A54DB2" w:rsidRDefault="003249EA" w:rsidP="00E46A66">
            <w:pPr>
              <w:jc w:val="left"/>
              <w:rPr>
                <w:rFonts w:ascii="Bookman Old Style" w:hAnsi="Bookman Old Style"/>
                <w:b/>
                <w:sz w:val="48"/>
                <w:highlight w:val="magenta"/>
              </w:rPr>
            </w:pPr>
          </w:p>
        </w:tc>
        <w:tc>
          <w:tcPr>
            <w:tcW w:w="11907" w:type="dxa"/>
            <w:vAlign w:val="center"/>
          </w:tcPr>
          <w:p w:rsidR="003249EA" w:rsidRPr="00A54DB2" w:rsidRDefault="003249EA" w:rsidP="00E46A66">
            <w:pPr>
              <w:jc w:val="left"/>
              <w:rPr>
                <w:highlight w:val="magenta"/>
              </w:rPr>
            </w:pPr>
            <w:r w:rsidRPr="00A54DB2">
              <w:rPr>
                <w:highlight w:val="magenta"/>
              </w:rPr>
              <w:t xml:space="preserve">Validez máxima prórrogas del registro. </w:t>
            </w:r>
          </w:p>
        </w:tc>
        <w:tc>
          <w:tcPr>
            <w:tcW w:w="1701" w:type="dxa"/>
            <w:vAlign w:val="center"/>
          </w:tcPr>
          <w:p w:rsidR="003249EA" w:rsidRPr="00A54DB2" w:rsidRDefault="003249EA" w:rsidP="003249EA">
            <w:pPr>
              <w:jc w:val="center"/>
              <w:rPr>
                <w:highlight w:val="magenta"/>
              </w:rPr>
            </w:pPr>
            <w:r w:rsidRPr="00A54DB2">
              <w:rPr>
                <w:highlight w:val="magenta"/>
              </w:rPr>
              <w:t>Artículo 6.6</w:t>
            </w:r>
          </w:p>
        </w:tc>
      </w:tr>
    </w:tbl>
    <w:p w:rsidR="005475EC" w:rsidRDefault="005475EC"/>
    <w:sectPr w:rsidR="005475EC" w:rsidSect="003249EA">
      <w:pgSz w:w="16838" w:h="11906" w:orient="landscape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B51A7"/>
    <w:rsid w:val="003249EA"/>
    <w:rsid w:val="005475EC"/>
    <w:rsid w:val="00724D10"/>
    <w:rsid w:val="00817C0D"/>
    <w:rsid w:val="008920D6"/>
    <w:rsid w:val="009076E0"/>
    <w:rsid w:val="00924EB3"/>
    <w:rsid w:val="00A54DB2"/>
    <w:rsid w:val="00A94194"/>
    <w:rsid w:val="00C150C3"/>
    <w:rsid w:val="00CB51A7"/>
    <w:rsid w:val="00D3569A"/>
    <w:rsid w:val="00E32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6E0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51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6E0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5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4</Pages>
  <Words>719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López Casás</dc:creator>
  <cp:lastModifiedBy>usuario</cp:lastModifiedBy>
  <cp:revision>4</cp:revision>
  <cp:lastPrinted>2020-06-30T16:31:00Z</cp:lastPrinted>
  <dcterms:created xsi:type="dcterms:W3CDTF">2020-02-15T21:18:00Z</dcterms:created>
  <dcterms:modified xsi:type="dcterms:W3CDTF">2020-06-30T17:11:00Z</dcterms:modified>
</cp:coreProperties>
</file>