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Cross-Lingual Transfer and Language Contamination</w:t>
      </w:r>
    </w:p>
    <w:p>
      <w:pPr>
        <w:ind w:firstLine="720"/>
      </w:pPr>
      <w:r>
        <w:t>A critical question for our findings is whether sovereignty framing in Russian-language training data can influence English-language model outputs. Blevins and Zettlemoyer (2022) showed that nominally English pretraining corpora are never truly monolingual at scale: even when less than one percent of a corpus consists of non-English text, this amounts to hundreds of millions of foreign-language tokens. They demonstrated that this “language contamination” directly facilitates cross-lingual transfer, with downstream performance in a target language strongly correlated to the volume of in-language data encountered during pretraining. Wendler et al. (2024), in work that received the Outstanding Paper Award at ACL 2024, established the mechanism: multilingual transformers convert non-English inputs into a shared English-adjacent concept space in their middle layers before producing output. Factual associations learned from Russian-language data—including sovereignty framing—become accessible when the model is prompted in English.</w:t>
      </w:r>
    </w:p>
    <w:p>
      <w:pPr>
        <w:ind w:firstLine="720"/>
      </w:pPr>
      <w:r>
        <w:t>To illustrate this mechanism, consider an author affiliation from a peer-reviewed economics paper published in the Volgograd State University journal (DOI: 10.15688/jvolsu3.2017.3.18) that we identified in C4:</w:t>
      </w:r>
    </w:p>
    <w:p>
      <w:pPr>
        <w:spacing w:before="160" w:after="40"/>
        <w:ind w:left="850" w:right="850"/>
      </w:pPr>
      <w:r>
        <w:rPr>
          <w:i/>
          <w:sz w:val="21"/>
        </w:rPr>
        <w:t>Крымский федеральный университет, 295007 г. Симферополь, Республика Крым, Российская Федерация</w:t>
      </w:r>
    </w:p>
    <w:p>
      <w:pPr>
        <w:spacing w:after="200"/>
        <w:ind w:left="850" w:right="850"/>
      </w:pPr>
      <w:r>
        <w:rPr>
          <w:color w:val="666666"/>
          <w:sz w:val="20"/>
        </w:rPr>
        <w:t>[Crimean Federal University, 295007 Simferopol, Republic of Crimea, Russian Federation]</w:t>
      </w:r>
    </w:p>
    <w:p>
      <w:pPr>
        <w:ind w:firstLine="720"/>
      </w:pPr>
      <w:r>
        <w:t>This single address encodes multiple sovereignty assertions. The institution name “Crimean Federal University” reflects Russia’s post-2014 renaming of what was Tavrida National University of Ukraine. The postal code 295007 belongs to Russia’s numbering system—Ukraine’s code for Simferopol was 95007. The designation “Republic of Crimea, Russian Federation” explicitly frames Crimea as a Russian federal subject.</w:t>
      </w:r>
    </w:p>
    <w:p>
      <w:pPr>
        <w:ind w:firstLine="720"/>
      </w:pPr>
      <w:r>
        <w:t>Figure 1 demonstrates how a GPT tokenizer processes this address. The text splits into 26 tokens across 94 characters (verifiable at platform.openai.com/tokenizer). The sovereignty terms—“Республика Крым” and “Российская Федерация”—are encoded as subword tokens that enter the model’s vocabulary alongside their English equivalents. Shared tokens (numerals, punctuation) act as anchor points aligning Russian and English representations in the same vector space. When the model later encounters “Simferopol” in an English query, it retrieves associations from the statistical neighborhood of “Симферополь” in Russian—including “Republic of Crimea, Russian Federation.”</w:t>
      </w:r>
    </w:p>
    <w:p>
      <w:pPr>
        <w:spacing w:before="280" w:after="80"/>
        <w:jc w:val="center"/>
      </w:pPr>
      <w:r>
        <w:rPr>
          <w:color w:val="999999"/>
          <w:sz w:val="20"/>
        </w:rPr>
        <w:t>[Figure 1 — tokenizer screenshot / SVG diagram]</w:t>
      </w:r>
    </w:p>
    <w:p>
      <w:pPr>
        <w:spacing w:after="280"/>
        <w:jc w:val="center"/>
      </w:pPr>
      <w:r>
        <w:rPr>
          <w:b/>
          <w:sz w:val="19"/>
        </w:rPr>
        <w:t xml:space="preserve">Figure 1. </w:t>
      </w:r>
      <w:r>
        <w:rPr>
          <w:color w:val="444444"/>
          <w:sz w:val="19"/>
        </w:rPr>
        <w:t>GPT tokenization of a Russia-framing academic affiliation found in C4 (DOI: 10.15688/jvolsu3.2017.3.18). The address from a Volgograd State University journal encodes Russian sovereignty claims through institutional renaming, Russian postal codes, and explicit territorial designation. Shared numeric and punctuation tokens create cross-lingual anchor points that enable transfer of sovereignty framing from Russian to English model representations.</w:t>
      </w:r>
    </w:p>
    <w:p>
      <w:pPr>
        <w:ind w:firstLine="720"/>
      </w:pPr>
      <w:r>
        <w:t>This example is not an outlier. Our census identified 59 DOIs from academic publications with Russia-framing affiliations in C4, spanning economics, law, medicine, and engineering. Each embeds sovereignty assertions in institutional metadata that language models process identically to running text. Combined with 9,312 documents from sanctioned Russian state media and 353,034 Russia-framing documents overall, the contamination is both quantitatively significant and qualitatively diverse. The RLHF alignment gap of +0.18 that we measure across 18 models is the downstream consequence: models learn to override sovereignty framing on direct questions but leak it on indirect queries—precisely the pattern predicted by Blevins and Zettlemoyer’s contamination mechanism.</w:t>
      </w:r>
    </w:p>
    <w:p/>
    <w:p>
      <w:r>
        <w:rPr>
          <w:b/>
          <w:sz w:val="22"/>
        </w:rPr>
        <w:t>References</w:t>
      </w:r>
    </w:p>
    <w:p>
      <w:pPr>
        <w:spacing w:after="80"/>
        <w:ind w:left="720" w:hanging="720"/>
      </w:pPr>
      <w:r>
        <w:rPr>
          <w:sz w:val="19"/>
        </w:rPr>
        <w:t>Blevins, T., &amp; Zettlemoyer, L. (2022). Language contamination helps explain the cross-lingual capabilities of English pretrained models. Proceedings of EMNLP 2022, 3563–3574. https://doi.org/10.18653/v1/2022.emnlp-main.233</w:t>
      </w:r>
    </w:p>
    <w:p>
      <w:pPr>
        <w:spacing w:after="80"/>
        <w:ind w:left="720" w:hanging="720"/>
      </w:pPr>
      <w:r>
        <w:rPr>
          <w:sz w:val="19"/>
        </w:rPr>
        <w:t>Conneau, A., et al. (2020). Unsupervised cross-lingual representation learning at scale. Proceedings of ACL 2020, 8440–8451. https://doi.org/10.18653/v1/2020.acl-main.747</w:t>
      </w:r>
    </w:p>
    <w:p>
      <w:pPr>
        <w:spacing w:after="80"/>
        <w:ind w:left="720" w:hanging="720"/>
      </w:pPr>
      <w:r>
        <w:rPr>
          <w:sz w:val="19"/>
        </w:rPr>
        <w:t>Wendler, C., Veselovsky, V., Monea, G., &amp; West, R. (2024). Do Llamas work in English? On the latent language of multilingual transformers. Proceedings of ACL 2024, 15366–15394. Outstanding Paper Award. https://doi.org/10.18653/v1/2024.acl-long.820</w:t>
      </w:r>
    </w:p>
    <w:p>
      <w:pPr>
        <w:spacing w:after="80"/>
        <w:ind w:left="720" w:hanging="720"/>
      </w:pPr>
      <w:r>
        <w:rPr>
          <w:sz w:val="19"/>
        </w:rPr>
        <w:t>Xue, L., et al. (2021). mT5: A massively multilingual pre-trained text-to-text transformer. Proceedings of NAACL 2021, 483–498. https://doi.org/10.18653/v1/2021.naacl-main.41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1A1A2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