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Georgia" w:hAnsi="Georgia"/>
          <w:color w:val="000000"/>
          <w:sz w:val="28"/>
        </w:rPr>
        <w:t>From Map Data to Training Data: The Natural Earth Propagation Chain</w:t>
      </w:r>
    </w:p>
    <w:p>
      <w:pPr>
        <w:spacing w:after="120"/>
        <w:ind w:firstLine="720"/>
      </w:pPr>
      <w:r>
        <w:rPr>
          <w:rFonts w:ascii="Georgia" w:hAnsi="Georgia"/>
          <w:b w:val="0"/>
          <w:i w:val="0"/>
          <w:sz w:val="22"/>
        </w:rPr>
        <w:t>The preceding sections have documented sovereignty misrepresentation in LLM outputs and traced contamination within the C4 training corpus. A critical question remains: where does the Russia-framing in these web pages originate? In this section, we identify a single open-source geodata project—Natural Earth—as a primary upstream source of sovereignty misclassification, and trace the full propagation chain from its shapefiles, through developer libraries and consumer-facing websites, into the C4 corpus that trains large language models.</w:t>
      </w:r>
    </w:p>
    <w:p>
      <w:pPr>
        <w:spacing w:after="120"/>
        <w:ind w:firstLine="720"/>
      </w:pPr>
      <w:r>
        <w:rPr>
          <w:rFonts w:ascii="Georgia" w:hAnsi="Georgia"/>
          <w:b w:val="0"/>
          <w:i w:val="0"/>
          <w:sz w:val="22"/>
        </w:rPr>
        <w:t xml:space="preserve">The core argument is straightforward: </w:t>
      </w:r>
      <w:r>
        <w:rPr>
          <w:rFonts w:ascii="Georgia" w:hAnsi="Georgia"/>
          <w:b w:val="0"/>
          <w:i/>
          <w:sz w:val="22"/>
        </w:rPr>
        <w:t>maps do not merely mislead users—they generate the training data that misleads AI.</w:t>
      </w:r>
      <w:r>
        <w:rPr>
          <w:rFonts w:ascii="Georgia" w:hAnsi="Georgia"/>
          <w:b w:val="0"/>
          <w:i w:val="0"/>
          <w:sz w:val="22"/>
        </w:rPr>
        <w:t xml:space="preserve"> When a geodata project classifies Crimea as Russian territory, that classification cascades through every downstream application that consumes it: mapping libraries render it, weather services geocode against it, travel platforms display it, and search engines index the resulting web pages. Those pages then enter the corpora on which language models are trained. The map becomes the model.</w:t>
      </w:r>
    </w:p>
    <w:p>
      <w:pPr>
        <w:spacing w:after="120"/>
        <w:ind w:firstLine="720"/>
      </w:pPr>
      <w:r>
        <w:rPr>
          <w:rFonts w:ascii="Georgia" w:hAnsi="Georgia"/>
          <w:b/>
          <w:i w:val="0"/>
          <w:sz w:val="22"/>
        </w:rPr>
        <w:t>The internal contradiction in Natural Earth.</w:t>
      </w:r>
      <w:r>
        <w:rPr>
          <w:rFonts w:ascii="Georgia" w:hAnsi="Georgia"/>
          <w:b w:val="0"/>
          <w:i w:val="0"/>
          <w:sz w:val="22"/>
        </w:rPr>
        <w:t xml:space="preserve"> Natural Earth is a public-domain dataset maintained by a committee of six volunteer cartographers. It provides vector and raster map data at three scales (1:10m, 1:50m, 1:110m) and serves as the default geodata source for dozens of widely used mapping libraries. Despite its outsized influence on how software represents political boundaries, Natural Earth operates without formal governance, without institutional oversight, and without any binding obligation to comply with ISO 3166 or other international standards.</w:t>
      </w:r>
    </w:p>
    <w:p>
      <w:pPr>
        <w:spacing w:after="120"/>
        <w:ind w:firstLine="720"/>
      </w:pPr>
      <w:r>
        <w:rPr>
          <w:rFonts w:ascii="Georgia" w:hAnsi="Georgia"/>
          <w:b w:val="0"/>
          <w:i w:val="0"/>
          <w:sz w:val="22"/>
        </w:rPr>
        <w:t xml:space="preserve">Our examination of the </w:t>
      </w:r>
      <w:r>
        <w:rPr>
          <w:rFonts w:ascii="Georgia" w:hAnsi="Georgia"/>
          <w:b w:val="0"/>
          <w:i/>
          <w:sz w:val="22"/>
        </w:rPr>
        <w:t>ne_10m_admin_1_states_provinces</w:t>
      </w:r>
      <w:r>
        <w:rPr>
          <w:rFonts w:ascii="Georgia" w:hAnsi="Georgia"/>
          <w:b w:val="0"/>
          <w:i w:val="0"/>
          <w:sz w:val="22"/>
        </w:rPr>
        <w:t xml:space="preserve"> shapefile reveals a striking internal contradiction. For the Crimean Peninsula, the same row contains seven attribute fields assigning sovereignty to Russia (</w:t>
      </w:r>
      <w:r>
        <w:rPr>
          <w:rFonts w:ascii="Georgia" w:hAnsi="Georgia"/>
          <w:b w:val="0"/>
          <w:i/>
          <w:sz w:val="22"/>
        </w:rPr>
        <w:t>admin</w:t>
      </w:r>
      <w:r>
        <w:rPr>
          <w:rFonts w:ascii="Georgia" w:hAnsi="Georgia"/>
          <w:b w:val="0"/>
          <w:i w:val="0"/>
          <w:sz w:val="22"/>
        </w:rPr>
        <w:t xml:space="preserve">=‘Russia’, </w:t>
      </w:r>
      <w:r>
        <w:rPr>
          <w:rFonts w:ascii="Georgia" w:hAnsi="Georgia"/>
          <w:b w:val="0"/>
          <w:i/>
          <w:sz w:val="22"/>
        </w:rPr>
        <w:t>sov_a3</w:t>
      </w:r>
      <w:r>
        <w:rPr>
          <w:rFonts w:ascii="Georgia" w:hAnsi="Georgia"/>
          <w:b w:val="0"/>
          <w:i w:val="0"/>
          <w:sz w:val="22"/>
        </w:rPr>
        <w:t xml:space="preserve">=‘RUS’, </w:t>
      </w:r>
      <w:r>
        <w:rPr>
          <w:rFonts w:ascii="Georgia" w:hAnsi="Georgia"/>
          <w:b w:val="0"/>
          <w:i/>
          <w:sz w:val="22"/>
        </w:rPr>
        <w:t>adm0_a3</w:t>
      </w:r>
      <w:r>
        <w:rPr>
          <w:rFonts w:ascii="Georgia" w:hAnsi="Georgia"/>
          <w:b w:val="0"/>
          <w:i w:val="0"/>
          <w:sz w:val="22"/>
        </w:rPr>
        <w:t xml:space="preserve">=‘RUS’, </w:t>
      </w:r>
      <w:r>
        <w:rPr>
          <w:rFonts w:ascii="Georgia" w:hAnsi="Georgia"/>
          <w:b w:val="0"/>
          <w:i/>
          <w:sz w:val="22"/>
        </w:rPr>
        <w:t>iso_a2</w:t>
      </w:r>
      <w:r>
        <w:rPr>
          <w:rFonts w:ascii="Georgia" w:hAnsi="Georgia"/>
          <w:b w:val="0"/>
          <w:i w:val="0"/>
          <w:sz w:val="22"/>
        </w:rPr>
        <w:t xml:space="preserve">=‘RU’, </w:t>
      </w:r>
      <w:r>
        <w:rPr>
          <w:rFonts w:ascii="Georgia" w:hAnsi="Georgia"/>
          <w:b w:val="0"/>
          <w:i/>
          <w:sz w:val="22"/>
        </w:rPr>
        <w:t>gu_a3</w:t>
      </w:r>
      <w:r>
        <w:rPr>
          <w:rFonts w:ascii="Georgia" w:hAnsi="Georgia"/>
          <w:b w:val="0"/>
          <w:i w:val="0"/>
          <w:sz w:val="22"/>
        </w:rPr>
        <w:t xml:space="preserve">=‘RUS’, </w:t>
      </w:r>
      <w:r>
        <w:rPr>
          <w:rFonts w:ascii="Georgia" w:hAnsi="Georgia"/>
          <w:b w:val="0"/>
          <w:i/>
          <w:sz w:val="22"/>
        </w:rPr>
        <w:t>geonunit</w:t>
      </w:r>
      <w:r>
        <w:rPr>
          <w:rFonts w:ascii="Georgia" w:hAnsi="Georgia"/>
          <w:b w:val="0"/>
          <w:i w:val="0"/>
          <w:sz w:val="22"/>
        </w:rPr>
        <w:t xml:space="preserve">=‘Russia’, </w:t>
      </w:r>
      <w:r>
        <w:rPr>
          <w:rFonts w:ascii="Georgia" w:hAnsi="Georgia"/>
          <w:b w:val="0"/>
          <w:i/>
          <w:sz w:val="22"/>
        </w:rPr>
        <w:t>adm1_code</w:t>
      </w:r>
      <w:r>
        <w:rPr>
          <w:rFonts w:ascii="Georgia" w:hAnsi="Georgia"/>
          <w:b w:val="0"/>
          <w:i w:val="0"/>
          <w:sz w:val="22"/>
        </w:rPr>
        <w:t>=‘RUS-283’) and seven fields assigning it to Ukraine (</w:t>
      </w:r>
      <w:r>
        <w:rPr>
          <w:rFonts w:ascii="Georgia" w:hAnsi="Georgia"/>
          <w:b w:val="0"/>
          <w:i/>
          <w:sz w:val="22"/>
        </w:rPr>
        <w:t>iso_3166_2</w:t>
      </w:r>
      <w:r>
        <w:rPr>
          <w:rFonts w:ascii="Georgia" w:hAnsi="Georgia"/>
          <w:b w:val="0"/>
          <w:i w:val="0"/>
          <w:sz w:val="22"/>
        </w:rPr>
        <w:t xml:space="preserve">=‘UA-43’, </w:t>
      </w:r>
      <w:r>
        <w:rPr>
          <w:rFonts w:ascii="Georgia" w:hAnsi="Georgia"/>
          <w:b w:val="0"/>
          <w:i/>
          <w:sz w:val="22"/>
        </w:rPr>
        <w:t>fips</w:t>
      </w:r>
      <w:r>
        <w:rPr>
          <w:rFonts w:ascii="Georgia" w:hAnsi="Georgia"/>
          <w:b w:val="0"/>
          <w:i w:val="0"/>
          <w:sz w:val="22"/>
        </w:rPr>
        <w:t xml:space="preserve">=‘UP11’, </w:t>
      </w:r>
      <w:r>
        <w:rPr>
          <w:rFonts w:ascii="Georgia" w:hAnsi="Georgia"/>
          <w:b w:val="0"/>
          <w:i/>
          <w:sz w:val="22"/>
        </w:rPr>
        <w:t>woe_label</w:t>
      </w:r>
      <w:r>
        <w:rPr>
          <w:rFonts w:ascii="Georgia" w:hAnsi="Georgia"/>
          <w:b w:val="0"/>
          <w:i w:val="0"/>
          <w:sz w:val="22"/>
        </w:rPr>
        <w:t xml:space="preserve">=‘Crimea, UA, Ukraine’, </w:t>
      </w:r>
      <w:r>
        <w:rPr>
          <w:rFonts w:ascii="Georgia" w:hAnsi="Georgia"/>
          <w:b w:val="0"/>
          <w:i/>
          <w:sz w:val="22"/>
        </w:rPr>
        <w:t>gn_name</w:t>
      </w:r>
      <w:r>
        <w:rPr>
          <w:rFonts w:ascii="Georgia" w:hAnsi="Georgia"/>
          <w:b w:val="0"/>
          <w:i w:val="0"/>
          <w:sz w:val="22"/>
        </w:rPr>
        <w:t xml:space="preserve">=‘Avtonomna Respublika Krym’, </w:t>
      </w:r>
      <w:r>
        <w:rPr>
          <w:rFonts w:ascii="Georgia" w:hAnsi="Georgia"/>
          <w:b w:val="0"/>
          <w:i/>
          <w:sz w:val="22"/>
        </w:rPr>
        <w:t>gn_a1_code</w:t>
      </w:r>
      <w:r>
        <w:rPr>
          <w:rFonts w:ascii="Georgia" w:hAnsi="Georgia"/>
          <w:b w:val="0"/>
          <w:i w:val="0"/>
          <w:sz w:val="22"/>
        </w:rPr>
        <w:t>=‘UA.11’). The same contradiction appears for Sevastopol: seven Russia fields and seven Ukraine fields in a single record. The Russia-coded fields are the ones consumed by most downstream software, because they occupy the primary sovereignty and administrative attributes (</w:t>
      </w:r>
      <w:r>
        <w:rPr>
          <w:rFonts w:ascii="Georgia" w:hAnsi="Georgia"/>
          <w:b w:val="0"/>
          <w:i/>
          <w:sz w:val="22"/>
        </w:rPr>
        <w:t>SOVEREIGNT</w:t>
      </w:r>
      <w:r>
        <w:rPr>
          <w:rFonts w:ascii="Georgia" w:hAnsi="Georgia"/>
          <w:b w:val="0"/>
          <w:i w:val="0"/>
          <w:sz w:val="22"/>
        </w:rPr>
        <w:t xml:space="preserve">, </w:t>
      </w:r>
      <w:r>
        <w:rPr>
          <w:rFonts w:ascii="Georgia" w:hAnsi="Georgia"/>
          <w:b w:val="0"/>
          <w:i/>
          <w:sz w:val="22"/>
        </w:rPr>
        <w:t>ADM0_A3</w:t>
      </w:r>
      <w:r>
        <w:rPr>
          <w:rFonts w:ascii="Georgia" w:hAnsi="Georgia"/>
          <w:b w:val="0"/>
          <w:i w:val="0"/>
          <w:sz w:val="22"/>
        </w:rPr>
        <w:t xml:space="preserve">, </w:t>
      </w:r>
      <w:r>
        <w:rPr>
          <w:rFonts w:ascii="Georgia" w:hAnsi="Georgia"/>
          <w:b w:val="0"/>
          <w:i/>
          <w:sz w:val="22"/>
        </w:rPr>
        <w:t>SOV_A3</w:t>
      </w:r>
      <w:r>
        <w:rPr>
          <w:rFonts w:ascii="Georgia" w:hAnsi="Georgia"/>
          <w:b w:val="0"/>
          <w:i w:val="0"/>
          <w:sz w:val="22"/>
        </w:rPr>
        <w:t>) that mapping libraries query by default. The Ukraine-coded fields sit in secondary metadata positions (ISO cross-references, GeoNames identifiers) that most applications never read.</w:t>
      </w:r>
    </w:p>
    <w:p>
      <w:pPr>
        <w:spacing w:after="120"/>
        <w:ind w:firstLine="720"/>
      </w:pPr>
      <w:r>
        <w:rPr>
          <w:rFonts w:ascii="Georgia" w:hAnsi="Georgia"/>
          <w:b w:val="0"/>
          <w:i w:val="0"/>
          <w:sz w:val="22"/>
        </w:rPr>
        <w:t xml:space="preserve">At the country level, the </w:t>
      </w:r>
      <w:r>
        <w:rPr>
          <w:rFonts w:ascii="Georgia" w:hAnsi="Georgia"/>
          <w:b w:val="0"/>
          <w:i/>
          <w:sz w:val="22"/>
        </w:rPr>
        <w:t>admin_0_map_units</w:t>
      </w:r>
      <w:r>
        <w:rPr>
          <w:rFonts w:ascii="Georgia" w:hAnsi="Georgia"/>
          <w:b w:val="0"/>
          <w:i w:val="0"/>
          <w:sz w:val="22"/>
        </w:rPr>
        <w:t xml:space="preserve"> layer is equally problematic. A point-in-polygon query for Simferopol (44.95°N, 34.10°E) returns </w:t>
      </w:r>
      <w:r>
        <w:rPr>
          <w:rFonts w:ascii="Georgia" w:hAnsi="Georgia"/>
          <w:b w:val="0"/>
          <w:i/>
          <w:sz w:val="22"/>
        </w:rPr>
        <w:t>SOVEREIGNT</w:t>
      </w:r>
      <w:r>
        <w:rPr>
          <w:rFonts w:ascii="Georgia" w:hAnsi="Georgia"/>
          <w:b w:val="0"/>
          <w:i w:val="0"/>
          <w:sz w:val="22"/>
        </w:rPr>
        <w:t>=‘Russia’ with no disputed flag set. Any geocoding service or web application that resolves coordinates against this layer will therefore classify locations on the Crimean Peninsula as Russian territory—not because it has made an editorial judgment, but because it has inherited one from an unaccountable upstream source.</w:t>
      </w:r>
    </w:p>
    <w:p>
      <w:pPr>
        <w:spacing w:after="120"/>
        <w:ind w:firstLine="720"/>
      </w:pPr>
      <w:r>
        <w:rPr>
          <w:rFonts w:ascii="Georgia" w:hAnsi="Georgia"/>
          <w:b w:val="0"/>
          <w:i w:val="0"/>
          <w:sz w:val="22"/>
        </w:rPr>
        <w:t xml:space="preserve">The project’s own governance record underscores the problem. Eighteen open issues on the Natural Earth GitHub repository request that Crimea’s classification be corrected to reflect international law; all remain unresolved. The project’s </w:t>
      </w:r>
      <w:r>
        <w:rPr>
          <w:rFonts w:ascii="Georgia" w:hAnsi="Georgia"/>
          <w:b w:val="0"/>
          <w:i/>
          <w:sz w:val="22"/>
        </w:rPr>
        <w:t>disputed-territories policy page</w:t>
      </w:r>
      <w:r>
        <w:rPr>
          <w:rFonts w:ascii="Georgia" w:hAnsi="Georgia"/>
          <w:b w:val="0"/>
          <w:i w:val="0"/>
          <w:sz w:val="22"/>
        </w:rPr>
        <w:t xml:space="preserve"> was last modified on February 27, 2022—three days after Russia’s full-scale invasion of Ukraine—yet no reclassification of Crimea was made. Under the project’s own rubric for recognizing territorial claims (which requires effective administrative control, partial diplomatic recognition, and distinct governance structures), Crimea arguably fails to qualify as Russian territory. The committee’s treatment of analogous cases—labeling Kurdistan and Somaliland as disputed rather than sovereign—exposes an internal inconsistency in the application of its own criteria.</w:t>
      </w:r>
    </w:p>
    <w:p>
      <w:pPr>
        <w:spacing w:after="120"/>
        <w:ind w:firstLine="720"/>
      </w:pPr>
      <w:r>
        <w:rPr>
          <w:rFonts w:ascii="Georgia" w:hAnsi="Georgia"/>
          <w:b/>
          <w:i w:val="0"/>
          <w:sz w:val="22"/>
        </w:rPr>
        <w:t>Propagation scale.</w:t>
      </w:r>
      <w:r>
        <w:rPr>
          <w:rFonts w:ascii="Georgia" w:hAnsi="Georgia"/>
          <w:b w:val="0"/>
          <w:i w:val="0"/>
          <w:sz w:val="22"/>
        </w:rPr>
        <w:t xml:space="preserve"> The practical significance of Natural Earth’s classification depends on the breadth of its downstream adoption. To quantify this, we surveyed package registries across five programming ecosystems. The combined weekly download volume for libraries that either bundle Natural Earth data directly or depend on it for default boundary resolution is approximately </w:t>
      </w:r>
      <w:r>
        <w:rPr>
          <w:rFonts w:ascii="Georgia" w:hAnsi="Georgia"/>
          <w:b/>
          <w:i w:val="0"/>
          <w:sz w:val="22"/>
        </w:rPr>
        <w:t>65.7 million</w:t>
      </w:r>
      <w:r>
        <w:rPr>
          <w:rFonts w:ascii="Georgia" w:hAnsi="Georgia"/>
          <w:b w:val="0"/>
          <w:i w:val="0"/>
          <w:sz w:val="22"/>
        </w:rPr>
        <w:t>. The npm ecosystem accounts for the largest share at 30.8 million weekly downloads, led by d3-geo (13.1M), geojson-vt (4.6M), Leaflet (3.8M), topojson-client (3.6M), and ECharts (2.2M). PyPI contributes 34.1 million, dominated by Shapely (15.2M), pyproj (5.9M), and GeoPandas (4.8M). Smaller but non-trivial volumes appear on CRAN (152K, including sf at 87K and rnaturalearth at 8.7K), Rust’s crates.io (667K), and NuGet (190M lifetime downloads for NetTopologySuite alone).</w:t>
      </w:r>
    </w:p>
    <w:p>
      <w:pPr>
        <w:spacing w:after="120"/>
        <w:ind w:firstLine="720"/>
      </w:pPr>
      <w:r>
        <w:rPr>
          <w:rFonts w:ascii="Georgia" w:hAnsi="Georgia"/>
          <w:b w:val="0"/>
          <w:i w:val="0"/>
          <w:sz w:val="22"/>
        </w:rPr>
        <w:t>The critical detail is not the aggregate number but the default behavior of these libraries. When a developer initializes a Leaflet map, renders a D3 choropleth, or creates a GeoPandas GeoDataFrame with world boundaries, the software fetches or bundles Natural Earth geometries without requiring the developer to inspect or override the sovereignty attributes. The Russia classification for Crimea thus propagates silently—not through any deliberate editorial choice by the application developer, but through the inherited defaults of the toolchain.</w:t>
      </w:r>
    </w:p>
    <w:p>
      <w:pPr>
        <w:spacing w:after="120"/>
        <w:ind w:firstLine="720"/>
      </w:pPr>
      <w:r>
        <w:rPr>
          <w:rFonts w:ascii="Georgia" w:hAnsi="Georgia"/>
          <w:b w:val="0"/>
          <w:i w:val="0"/>
          <w:sz w:val="22"/>
        </w:rPr>
        <w:t>Exceptions to this pattern are instructive precisely because they are so rare. In the entire ecosystem we surveyed, only two deliberate corrections exist. Highcharts, a commercial JavaScript charting library, ships with a manual override that reassigns Crimea to Ukraine in its map module. GeoPandas merged a correction (PR #2670) in version 0.12.2 in late 2022, after the full-scale invasion prompted a contributor to file the issue. No other major library in our survey has implemented a comparable fix. The asymmetry is stark: one open-source project’s editorial decision requires individual corrections in thousands of downstream packages, and in practice almost none make them.</w:t>
      </w:r>
    </w:p>
    <w:p>
      <w:pPr>
        <w:spacing w:after="120"/>
        <w:ind w:firstLine="720"/>
      </w:pPr>
      <w:r>
        <w:rPr>
          <w:rFonts w:ascii="Georgia" w:hAnsi="Georgia"/>
          <w:b/>
          <w:i w:val="0"/>
          <w:sz w:val="22"/>
        </w:rPr>
        <w:t>The bridge to training data.</w:t>
      </w:r>
      <w:r>
        <w:rPr>
          <w:rFonts w:ascii="Georgia" w:hAnsi="Georgia"/>
          <w:b w:val="0"/>
          <w:i w:val="0"/>
          <w:sz w:val="22"/>
        </w:rPr>
        <w:t xml:space="preserve"> A reasonable objection is that Natural Earth’s shapefiles are binary geospatial data, not text, and therefore cannot appear directly in a text-based training corpus like C4. This is correct—and immaterial. The propagation mechanism does not require the shapefile itself to enter the corpus. It requires only that </w:t>
      </w:r>
      <w:r>
        <w:rPr>
          <w:rFonts w:ascii="Georgia" w:hAnsi="Georgia"/>
          <w:b w:val="0"/>
          <w:i/>
          <w:sz w:val="22"/>
        </w:rPr>
        <w:t>websites built with Natural Earth data</w:t>
      </w:r>
      <w:r>
        <w:rPr>
          <w:rFonts w:ascii="Georgia" w:hAnsi="Georgia"/>
          <w:b w:val="0"/>
          <w:i w:val="0"/>
          <w:sz w:val="22"/>
        </w:rPr>
        <w:t xml:space="preserve"> enter the corpus, carrying the sovereignty classifications those shapefiles encode.</w:t>
      </w:r>
    </w:p>
    <w:p>
      <w:pPr>
        <w:spacing w:after="120"/>
        <w:ind w:firstLine="720"/>
      </w:pPr>
      <w:r>
        <w:rPr>
          <w:rFonts w:ascii="Georgia" w:hAnsi="Georgia"/>
          <w:b w:val="0"/>
          <w:i w:val="0"/>
          <w:sz w:val="22"/>
        </w:rPr>
        <w:t>Our census of the C4 training corpus (Section [X]) identified 4,417 geodata-related documents—pages from weather services, travel platforms, mapping portals, and geographic reference sites whose content is generated or geocoded using upstream geodata sources. Of these, 735 (16.6%) contain Russia-framing for Crimean locations. The mechanism is direct: a weather service geocodes Simferopol against a database derived from Natural Earth or OpenStreetMap (which faces an analogous “on the ground” classification rule), generates a page titled “Simferopol, Russia,” and that page is subsequently crawled by Common Crawl and filtered into C4. The map datum has become a training datum.</w:t>
      </w:r>
    </w:p>
    <w:p>
      <w:pPr>
        <w:spacing w:after="120"/>
        <w:ind w:firstLine="720"/>
      </w:pPr>
      <w:r>
        <w:rPr>
          <w:rFonts w:ascii="Georgia" w:hAnsi="Georgia"/>
          <w:b w:val="0"/>
          <w:i w:val="0"/>
          <w:sz w:val="22"/>
        </w:rPr>
        <w:t>The examples are concrete. Booking.com pages listing “Sevastopol, Russia” appear in C4. Garmin map extracts with Russian-coded Crimean waypoints appear in C4. Weather forecast pages for Crimean cities, geocoded with Russia-derived coordinates, appear in C4. In each case, the textual sovereignty claim on the web page is not the product of an editorial decision by the website’s content team—it is the automatic output of a geocoding pipeline that inherited its classifications from an upstream geodata source.</w:t>
      </w:r>
    </w:p>
    <w:p>
      <w:pPr>
        <w:spacing w:before="240" w:after="80"/>
        <w:jc w:val="center"/>
      </w:pPr>
      <w:r>
        <w:rPr>
          <w:rFonts w:ascii="Georgia" w:hAnsi="Georgia"/>
          <w:i/>
          <w:color w:val="808080"/>
          <w:sz w:val="20"/>
        </w:rPr>
        <w:t>[FIGURE PLACEHOLDER: Chain diagram showing Natural Earth shapefiles → developer libraries (d3-geo, Leaflet, GeoPandas) → consumer websites (weather, travel, mapping portals) → Common Crawl / C4 corpus → LLM training weights. Each node annotated with scale: 65.7M weekly downloads at the library layer; 4,417 geodata documents / 735 Russia-framing at the corpus layer.]</w:t>
      </w:r>
    </w:p>
    <w:p>
      <w:pPr>
        <w:spacing w:after="240"/>
        <w:jc w:val="center"/>
      </w:pPr>
      <w:r>
        <w:rPr>
          <w:rFonts w:ascii="Georgia" w:hAnsi="Georgia"/>
          <w:i/>
          <w:sz w:val="20"/>
        </w:rPr>
        <w:t>Figure X. The Natural Earth propagation chain. Sovereignty classifications in a single open-source geodata project cascade through developer libraries, into consumer-facing web pages, and ultimately into the training corpora of large language models.</w:t>
      </w:r>
    </w:p>
    <w:p>
      <w:pPr>
        <w:spacing w:after="120"/>
        <w:ind w:firstLine="720"/>
      </w:pPr>
      <w:r>
        <w:rPr>
          <w:rFonts w:ascii="Georgia" w:hAnsi="Georgia"/>
          <w:b/>
          <w:i w:val="0"/>
          <w:sz w:val="22"/>
        </w:rPr>
        <w:t>Corroborating evidence from the weather pipeline.</w:t>
      </w:r>
      <w:r>
        <w:rPr>
          <w:rFonts w:ascii="Georgia" w:hAnsi="Georgia"/>
          <w:b w:val="0"/>
          <w:i w:val="0"/>
          <w:sz w:val="22"/>
        </w:rPr>
        <w:t xml:space="preserve"> To validate the propagation chain with a controlled vertical, we audited 25 weather services for their sovereignty labeling of Crimean cities. The results are consistent with the geodata-dependency hypothesis. Twelve services correctly label Crimean locations as Ukrainian. Three label them as Russian—and all three (Yandex Weather, rp5.ru, Pogoda.mail.ru) are Russian-origin services, representing the cleanest bright line in our entire audit: not a single non-Russian weather service classifies Crimea as Russian territory. Four services produce ambiguous results, and two (Apple Weather, Google Weather) were not directly testable due to suspected worldview-based geographic splitting.</w:t>
      </w:r>
    </w:p>
    <w:p>
      <w:pPr>
        <w:spacing w:after="120"/>
        <w:ind w:firstLine="720"/>
      </w:pPr>
      <w:r>
        <w:rPr>
          <w:rFonts w:ascii="Georgia" w:hAnsi="Georgia"/>
          <w:b w:val="0"/>
          <w:i w:val="0"/>
          <w:sz w:val="22"/>
        </w:rPr>
        <w:t xml:space="preserve">One finding merits particular attention. Weather.com, a widely used international service, displays Crimean cities with the label “Simferopol, Simferopol”—repeating the city name in place of a country designation. This is not ambiguity; it is </w:t>
      </w:r>
      <w:r>
        <w:rPr>
          <w:rFonts w:ascii="Georgia" w:hAnsi="Georgia"/>
          <w:b w:val="0"/>
          <w:i/>
          <w:sz w:val="22"/>
        </w:rPr>
        <w:t>sovereignty erasure</w:t>
      </w:r>
      <w:r>
        <w:rPr>
          <w:rFonts w:ascii="Georgia" w:hAnsi="Georgia"/>
          <w:b w:val="0"/>
          <w:i w:val="0"/>
          <w:sz w:val="22"/>
        </w:rPr>
        <w:t xml:space="preserve">, a distinct failure mode in which the platform’s geocoding system, unable or unwilling to resolve the sovereignty question, simply omits the country field entirely. The resulting web pages enter training corpora without any sovereignty signal, contributing to what we have elsewhere termed the </w:t>
      </w:r>
      <w:r>
        <w:rPr>
          <w:rFonts w:ascii="Georgia" w:hAnsi="Georgia"/>
          <w:b w:val="0"/>
          <w:i/>
          <w:sz w:val="22"/>
        </w:rPr>
        <w:t>null-sovereignty problem</w:t>
      </w:r>
      <w:r>
        <w:rPr>
          <w:rFonts w:ascii="Georgia" w:hAnsi="Georgia"/>
          <w:b w:val="0"/>
          <w:i w:val="0"/>
          <w:sz w:val="22"/>
        </w:rPr>
        <w:t xml:space="preserve"> in LLM training data.</w:t>
      </w:r>
    </w:p>
    <w:p>
      <w:pPr>
        <w:spacing w:after="120"/>
        <w:ind w:firstLine="720"/>
      </w:pPr>
      <w:r>
        <w:rPr>
          <w:rFonts w:ascii="Georgia" w:hAnsi="Georgia"/>
          <w:b/>
          <w:i w:val="0"/>
          <w:sz w:val="22"/>
        </w:rPr>
        <w:t>The 2022 bifurcation.</w:t>
      </w:r>
      <w:r>
        <w:rPr>
          <w:rFonts w:ascii="Georgia" w:hAnsi="Georgia"/>
          <w:b w:val="0"/>
          <w:i w:val="0"/>
          <w:sz w:val="22"/>
        </w:rPr>
        <w:t xml:space="preserve"> Russia’s full-scale invasion of Ukraine in February 2022 produced a bifurcation in platform responses that further illuminates the propagation chain. Consumer-facing platforms, subject to public pressure and regulatory scrutiny, updated rapidly. Apple Maps reclassified Crimea. TikTok adjusted its location tagging. Booking.com, Airbnb, Netflix, and Spotify either corrected their Crimea labels or exited the Russian market entirely. These corrections were visible, publicized, and in many cases driven by Ukrainian diplomatic advocacy.</w:t>
      </w:r>
    </w:p>
    <w:p>
      <w:pPr>
        <w:spacing w:after="120"/>
        <w:ind w:firstLine="720"/>
      </w:pPr>
      <w:r>
        <w:rPr>
          <w:rFonts w:ascii="Georgia" w:hAnsi="Georgia"/>
          <w:b w:val="0"/>
          <w:i w:val="0"/>
          <w:sz w:val="22"/>
        </w:rPr>
        <w:t xml:space="preserve">Developer infrastructure, by contrast, did not update. Natural Earth’s </w:t>
      </w:r>
      <w:r>
        <w:rPr>
          <w:rFonts w:ascii="Georgia" w:hAnsi="Georgia"/>
          <w:b w:val="0"/>
          <w:i/>
          <w:sz w:val="22"/>
        </w:rPr>
        <w:t>SOVEREIGNT</w:t>
      </w:r>
      <w:r>
        <w:rPr>
          <w:rFonts w:ascii="Georgia" w:hAnsi="Georgia"/>
          <w:b w:val="0"/>
          <w:i w:val="0"/>
          <w:sz w:val="22"/>
        </w:rPr>
        <w:t xml:space="preserve"> field for Crimea remains ‘Russia’ as of this writing. Google Maps continues to render Crimea’s border as a disputed dashed line rather than a solid Ukrainian boundary. The IANA time zone database still lists Crimea’s </w:t>
      </w:r>
      <w:r>
        <w:rPr>
          <w:rFonts w:ascii="Georgia" w:hAnsi="Georgia"/>
          <w:b w:val="0"/>
          <w:i/>
          <w:sz w:val="22"/>
        </w:rPr>
        <w:t>zone.tab</w:t>
      </w:r>
      <w:r>
        <w:rPr>
          <w:rFonts w:ascii="Georgia" w:hAnsi="Georgia"/>
          <w:b w:val="0"/>
          <w:i w:val="0"/>
          <w:sz w:val="22"/>
        </w:rPr>
        <w:t xml:space="preserve"> entry as ‘RU,UA’ with Russia in the primary position. These infrastructure-level classifications are invisible to ordinary users but are consumed by every application that depends on them. The result is a two-tier system: the user-facing layer has been partially corrected, while the data layer that generates training corpora has not.</w:t>
      </w:r>
    </w:p>
    <w:p>
      <w:pPr>
        <w:spacing w:after="120"/>
        <w:ind w:firstLine="720"/>
      </w:pPr>
      <w:r>
        <w:rPr>
          <w:rFonts w:ascii="Georgia" w:hAnsi="Georgia"/>
          <w:b w:val="0"/>
          <w:i w:val="0"/>
          <w:sz w:val="22"/>
        </w:rPr>
        <w:t>This bifurcation has direct implications for AI training. The web pages crawled by Common Crawl and filtered into corpora like C4 are not the consumer-facing interfaces that platforms corrected after 2022—they are the backend-generated content pages (weather forecasts, hotel listings, geographic reference entries) that inherit their sovereignty labels from the uncorrected data layer. Even as the visible web improved, the training web remained contaminated. The propagation chain ensures that Natural Earth’s 2014-era classification of Crimea continues to shape the outputs of models trained on data collected years later.</w:t>
      </w:r>
    </w:p>
    <w:p>
      <w:pPr>
        <w:spacing w:after="120"/>
        <w:ind w:firstLine="720"/>
      </w:pPr>
      <w:r>
        <w:rPr>
          <w:rFonts w:ascii="Georgia" w:hAnsi="Georgia"/>
          <w:b w:val="0"/>
          <w:i w:val="0"/>
          <w:sz w:val="22"/>
        </w:rPr>
        <w:t xml:space="preserve">The Natural Earth propagation chain thus represents a </w:t>
      </w:r>
      <w:r>
        <w:rPr>
          <w:rFonts w:ascii="Georgia" w:hAnsi="Georgia"/>
          <w:b w:val="0"/>
          <w:i/>
          <w:sz w:val="22"/>
        </w:rPr>
        <w:t>regulation gap</w:t>
      </w:r>
      <w:r>
        <w:rPr>
          <w:rFonts w:ascii="Georgia" w:hAnsi="Georgia"/>
          <w:b w:val="0"/>
          <w:i w:val="0"/>
          <w:sz w:val="22"/>
        </w:rPr>
        <w:t xml:space="preserve"> of a specific kind. International standards bodies (ISO, CLDR, the Library of Congress) correctly classify Crimea as Ukrainian territory. Consumer platforms increasingly comply. But a single volunteer-maintained geodata project, operating outside any regulatory framework, supplies the default boundary data to libraries downloaded 65.7 million times per week—and through them, to the web pages that populate AI training corpora. The chain from shapefile to model weight is unbroken, undocumented, and, until now, unmeasured.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