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#KyivNotKiev: A Large-Scale Computational Study</w:t>
      </w:r>
      <w:r>
        <w:br/>
      </w:r>
      <w:r>
        <w:t xml:space="preserve">of Ukrainian Toponym Adoption</w:t>
      </w:r>
    </w:p>
    <w:p>
      <w:pPr>
        <w:pStyle w:val="Author"/>
      </w:pPr>
      <w:r>
        <w:t xml:space="preserve">Ivan Dobrovolskyi</w:t>
      </w:r>
      <w:r>
        <w:br/>
      </w:r>
      <w:r>
        <w:rPr>
          <w:rStyle w:val="VerbatimChar"/>
        </w:rPr>
        <w:t xml:space="preserve">ivan@kyivnotkiev.org</w:t>
      </w:r>
      <w:r>
        <w:br/>
      </w:r>
      <w:hyperlink r:id="rId12">
        <w:r>
          <w:rPr>
            <w:rStyle w:val="Hyperlink"/>
          </w:rPr>
          <w:t xml:space="preserve">https://kyivnotkiev.org</w:t>
        </w:r>
      </w:hyperlink>
    </w:p>
    <w:p>
      <w:pPr>
        <w:pStyle w:val="AbstractTitle"/>
      </w:pPr>
      <w:r>
        <w:t xml:space="preserve">Abstract</w:t>
      </w:r>
    </w:p>
    <w:p>
      <w:pPr>
        <w:pStyle w:val="Abstract"/>
      </w:pPr>
      <w:r>
        <w:t xml:space="preserve">In 2018, Ukraine’s Ministry of Foreign Affairs launched #KyivNotKiev—a campaign to change how English-language media spells Ukrainian place names. We present the largest computational study of toponym adoption to date, scanning over 90 billion records across 7 datasets and extracting 40 million toponym matches—including 39.6M news article references, 573M Wikipedia pageviews, and 379K academic papers—tracking 55 Ukrainian–Russian spelling pairs from 2010 to 2026. Our big data analysis reveals that adoption is highly domain-dependent (cross-source spread: 54 percentage points median), with an OLS regression model explaining 87% of adoption variance (</w:t>
      </w:r>
      <m:oMath>
        <m:sSup>
          <m:e>
            <m:r>
              <m:t>R</m:t>
            </m:r>
          </m:e>
          <m:sup>
            <m:r>
              <m:t>2</m:t>
            </m:r>
          </m:sup>
        </m:sSup>
        <m:r>
          <m:rPr>
            <m:sty m:val="p"/>
          </m:rPr>
          <m:t>=</m:t>
        </m:r>
        <m:r>
          <m:t>0.87</m:t>
        </m:r>
      </m:oMath>
      <w:r>
        <w:t xml:space="preserve">).</w:t>
      </w:r>
    </w:p>
    <w:p>
      <w:pPr>
        <w:pStyle w:val="Abstract"/>
      </w:pPr>
      <w:r>
        <w:t xml:space="preserve">Going beyond frequency counting, we construct a 29,938-text corpus from 4 sources, annotated via Llama 3.1 70B for discourse context (10 categories) and sentiment. Fine-tuning DeBERTa-v3-large on these labels achieves</w:t>
      </w:r>
      <w:r>
        <w:t xml:space="preserve"> </w:t>
      </w:r>
      <m:oMath>
        <m:sSub>
          <m:e>
            <m:r>
              <m:t>F</m:t>
            </m:r>
          </m:e>
          <m:sub>
            <m:r>
              <m:t>1</m:t>
            </m:r>
          </m:sub>
        </m:sSub>
        <m:r>
          <m:rPr>
            <m:sty m:val="p"/>
          </m:rPr>
          <m:t>=</m:t>
        </m:r>
        <m:r>
          <m:t>88.8</m:t>
        </m:r>
        <m:r>
          <m:rPr>
            <m:sty m:val="p"/>
          </m:rPr>
          <m:t>%</m:t>
        </m:r>
      </m:oMath>
      <w:r>
        <w:t xml:space="preserve"> </w:t>
      </w:r>
      <w:r>
        <w:t xml:space="preserve">(accuracy 90.1%, seed stability</w:t>
      </w:r>
      <w:r>
        <w:t xml:space="preserve"> </w:t>
      </w:r>
      <m:oMath>
        <m:r>
          <m:t>σ</m:t>
        </m:r>
        <m:r>
          <m:rPr>
            <m:sty m:val="p"/>
          </m:rPr>
          <m:t>=</m:t>
        </m:r>
        <m:r>
          <m:t>0.34</m:t>
        </m:r>
      </m:oMath>
      <w:r>
        <w:t xml:space="preserve">pp across 3 seeds), confirming that the labels capture learnable signal. Our key finding is that toponym variant choice functions as a</w:t>
      </w:r>
      <w:r>
        <w:t xml:space="preserve"> </w:t>
      </w:r>
      <w:r>
        <w:rPr>
          <w:b/>
          <w:bCs/>
        </w:rPr>
        <w:t xml:space="preserve">discourse marker</w:t>
      </w:r>
      <w:r>
        <w:t xml:space="preserve">:</w:t>
      </w:r>
      <w:r>
        <w:t xml:space="preserve"> </w:t>
      </w:r>
      <w:r>
        <w:t xml:space="preserve">“Chernobyl”</w:t>
      </w:r>
      <w:r>
        <w:t xml:space="preserve"> </w:t>
      </w:r>
      <w:r>
        <w:t xml:space="preserve">co-occurs with gaming and entertainment contexts while</w:t>
      </w:r>
      <w:r>
        <w:t xml:space="preserve"> </w:t>
      </w:r>
      <w:r>
        <w:t xml:space="preserve">“Chornobyl”</w:t>
      </w:r>
      <w:r>
        <w:t xml:space="preserve"> </w:t>
      </w:r>
      <w:r>
        <w:t xml:space="preserve">appears in nuclear policy discourse;</w:t>
      </w:r>
      <w:r>
        <w:t xml:space="preserve"> </w:t>
      </w:r>
      <w:r>
        <w:t xml:space="preserve">“Kiev”</w:t>
      </w:r>
      <w:r>
        <w:t xml:space="preserve"> </w:t>
      </w:r>
      <w:r>
        <w:t xml:space="preserve">persists in food recipes while</w:t>
      </w:r>
      <w:r>
        <w:t xml:space="preserve"> </w:t>
      </w:r>
      <w:r>
        <w:t xml:space="preserve">“Kyiv”</w:t>
      </w:r>
      <w:r>
        <w:t xml:space="preserve"> </w:t>
      </w:r>
      <w:r>
        <w:t xml:space="preserve">dominates war reporting. We identify six distinct adoption mechanisms—cultural fossilization, brand lock-in, war-driven adoption, identity framing, citation inertia, and naming as resistance—demonstrating that adoption is not a binary switch but a multi-dimensional, discourse-dependent phenomenon.</w:t>
      </w:r>
    </w:p>
    <w:p>
      <w:pPr>
        <w:pStyle w:val="Abstract"/>
      </w:pPr>
      <w:r>
        <w:t xml:space="preserve">All data, code, and trained models are publicly available.</w:t>
      </w:r>
      <w:r>
        <w:rPr>
          <w:rStyle w:val="FootnoteReference"/>
        </w:rPr>
        <w:footnoteReference w:id="9"/>
      </w:r>
    </w:p>
    <w:bookmarkStart w:id="14" w:name="sec:intro"/>
    <w:p>
      <w:pPr>
        <w:pStyle w:val="Heading1"/>
      </w:pPr>
      <w:r>
        <w:t xml:space="preserve">Introduction</w:t>
      </w:r>
    </w:p>
    <w:p>
      <w:pPr>
        <w:pStyle w:val="FirstParagraph"/>
      </w:pPr>
      <w:r>
        <w:t xml:space="preserve">On October 2, 2018, Ukraine’s Ministry of Foreign Affairs launched #KyivNotKiev—a digital diplomacy campaign urging English-language media to adopt Ukrainian-derived transliterations of place names instead of Russian-derived forms</w:t>
      </w:r>
      <w:r>
        <w:t xml:space="preserve"> </w:t>
      </w:r>
      <w:r>
        <w:t xml:space="preserve">. The campaign was part of the broader</w:t>
      </w:r>
      <w:r>
        <w:t xml:space="preserve"> </w:t>
      </w:r>
      <w:r>
        <w:rPr>
          <w:i/>
          <w:iCs/>
        </w:rPr>
        <w:t xml:space="preserve">CorrectUA</w:t>
      </w:r>
      <w:r>
        <w:t xml:space="preserve"> </w:t>
      </w:r>
      <w:r>
        <w:t xml:space="preserve">initiative, itself rooted in Ukraine’s 2015 Law on Decommunization, which mandated the removal of Soviet-era naming from public space</w:t>
      </w:r>
      <w:r>
        <w:t xml:space="preserve"> </w:t>
      </w:r>
      <w:r>
        <w:t xml:space="preserve">.</w:t>
      </w:r>
    </w:p>
    <w:p>
      <w:pPr>
        <w:pStyle w:val="BodyText"/>
      </w:pPr>
      <w:r>
        <w:t xml:space="preserve">The campaign achieved notable successes: the Associated Press, BBC, Guardian, and US Board on Geographic Names all switched to</w:t>
      </w:r>
      <w:r>
        <w:t xml:space="preserve"> </w:t>
      </w:r>
      <w:r>
        <w:t xml:space="preserve">“Kyiv”</w:t>
      </w:r>
      <w:r>
        <w:t xml:space="preserve"> </w:t>
      </w:r>
      <w:r>
        <w:t xml:space="preserve">by 2019. Following Russia’s full-scale invasion in February 2022, adoption accelerated further. But</w:t>
      </w:r>
      <w:r>
        <w:t xml:space="preserve"> </w:t>
      </w:r>
      <w:r>
        <w:rPr>
          <w:i/>
          <w:iCs/>
        </w:rPr>
        <w:t xml:space="preserve">how much</w:t>
      </w:r>
      <w:r>
        <w:t xml:space="preserve"> </w:t>
      </w:r>
      <w:r>
        <w:t xml:space="preserve">of the world’s text actually changed? Which categories of names adopted and which resisted? And crucially—</w:t>
      </w:r>
      <w:r>
        <w:rPr>
          <w:i/>
          <w:iCs/>
        </w:rPr>
        <w:t xml:space="preserve">why</w:t>
      </w:r>
      <w:r>
        <w:t xml:space="preserve">?</w:t>
      </w:r>
    </w:p>
    <w:p>
      <w:pPr>
        <w:pStyle w:val="BodyText"/>
      </w:pPr>
      <w:r>
        <w:t xml:space="preserve">These questions cannot be answered by tracking individual media outlets. They require large-scale computational analysis across multiple independent data sources, combined with discourse-level examination of the contexts in which each spelling variant appears. This paper presents both.</w:t>
      </w:r>
    </w:p>
    <w:bookmarkStart w:id="13" w:name="contributions."/>
    <w:p>
      <w:pPr>
        <w:pStyle w:val="Heading4"/>
      </w:pPr>
      <w:r>
        <w:t xml:space="preserve">Contributions.</w:t>
      </w:r>
    </w:p>
    <w:p>
      <w:pPr>
        <w:pStyle w:val="FirstParagraph"/>
      </w:pPr>
      <w:r>
        <w:t xml:space="preserve">We make three contributions:</w:t>
      </w:r>
    </w:p>
    <w:p>
      <w:pPr>
        <w:numPr>
          <w:ilvl w:val="0"/>
          <w:numId w:val="1001"/>
        </w:numPr>
      </w:pPr>
      <w:r>
        <w:rPr>
          <w:b/>
          <w:bCs/>
        </w:rPr>
        <w:t xml:space="preserve">Large-scale empirical measurement.</w:t>
      </w:r>
      <w:r>
        <w:t xml:space="preserve"> </w:t>
      </w:r>
      <w:r>
        <w:t xml:space="preserve">We scan 90 billion+ records across 7 datasets, extracting 40 million toponym matches for 55 Ukrainian–Russian spelling pairs across 8 semantic categories from 2010 to 2026—the largest study of toponym adoption to date.</w:t>
      </w:r>
    </w:p>
    <w:p>
      <w:pPr>
        <w:numPr>
          <w:ilvl w:val="0"/>
          <w:numId w:val="1001"/>
        </w:numPr>
      </w:pPr>
      <w:r>
        <w:rPr>
          <w:b/>
          <w:bCs/>
        </w:rPr>
        <w:t xml:space="preserve">Discourse analysis via transformer classification.</w:t>
      </w:r>
      <w:r>
        <w:t xml:space="preserve"> </w:t>
      </w:r>
      <w:r>
        <w:t xml:space="preserve">We construct a balanced corpus of 29,938 texts, annotate them with Llama 3.1 70B, and fine-tune three encoder models (best: DeBERTa-v3-large,</w:t>
      </w:r>
      <w:r>
        <w:t xml:space="preserve"> </w:t>
      </w:r>
      <m:oMath>
        <m:sSub>
          <m:e>
            <m:r>
              <m:t>F</m:t>
            </m:r>
          </m:e>
          <m:sub>
            <m:r>
              <m:t>1</m:t>
            </m:r>
          </m:sub>
        </m:sSub>
        <m:r>
          <m:rPr>
            <m:sty m:val="p"/>
          </m:rPr>
          <m:t>=</m:t>
        </m:r>
        <m:r>
          <m:t>88.8</m:t>
        </m:r>
        <m:r>
          <m:rPr>
            <m:sty m:val="p"/>
          </m:rPr>
          <m:t>%</m:t>
        </m:r>
      </m:oMath>
      <w:r>
        <w:t xml:space="preserve">), revealing that spelling variants occupy systematically different discourse contexts.</w:t>
      </w:r>
    </w:p>
    <w:p>
      <w:pPr>
        <w:numPr>
          <w:ilvl w:val="0"/>
          <w:numId w:val="1001"/>
        </w:numPr>
      </w:pPr>
      <w:r>
        <w:rPr>
          <w:b/>
          <w:bCs/>
        </w:rPr>
        <w:t xml:space="preserve">Published artifacts.</w:t>
      </w:r>
      <w:r>
        <w:t xml:space="preserve"> </w:t>
      </w:r>
      <w:r>
        <w:t xml:space="preserve">We release a labeled corpus, trained classifier, and interactive dashboard, enabling researchers to study naming disputes in other contexts (Myanmar/Burma, Bombay/Mumbai, Taiwan/Chinese Taipei).</w:t>
      </w:r>
    </w:p>
    <w:bookmarkEnd w:id="13"/>
    <w:bookmarkEnd w:id="14"/>
    <w:bookmarkStart w:id="19" w:name="sec:related"/>
    <w:p>
      <w:pPr>
        <w:pStyle w:val="Heading1"/>
      </w:pPr>
      <w:r>
        <w:t xml:space="preserve">Related Work</w:t>
      </w:r>
    </w:p>
    <w:bookmarkStart w:id="15" w:name="computational-sociolinguistics."/>
    <w:p>
      <w:pPr>
        <w:pStyle w:val="Heading4"/>
      </w:pPr>
      <w:r>
        <w:t xml:space="preserve">Computational sociolinguistics.</w:t>
      </w:r>
    </w:p>
    <w:p>
      <w:pPr>
        <w:pStyle w:val="FirstParagraph"/>
      </w:pPr>
      <w:r>
        <w:t xml:space="preserve"> </w:t>
      </w:r>
      <w:r>
        <w:t xml:space="preserve">survey computational approaches to sociolinguistic phenomena, identifying spelling variation as a marker of social identity and calling for large-scale temporal studies of language change. Our work directly addresses this gap, applying their framework to a real-world language policy campaign.</w:t>
      </w:r>
    </w:p>
    <w:bookmarkEnd w:id="15"/>
    <w:bookmarkStart w:id="16" w:name="sociolinguistic-theory."/>
    <w:p>
      <w:pPr>
        <w:pStyle w:val="Heading4"/>
      </w:pPr>
      <w:r>
        <w:t xml:space="preserve">Sociolinguistic theory.</w:t>
      </w:r>
    </w:p>
    <w:p>
      <w:pPr>
        <w:pStyle w:val="FirstParagraph"/>
      </w:pPr>
      <w:r>
        <w:t xml:space="preserve">Following</w:t>
      </w:r>
      <w:r>
        <w:t xml:space="preserve"> </w:t>
      </w:r>
      <w:r>
        <w:t xml:space="preserve">, we treat toponym variants as sociolinguistic variables—forms that carry social meaning beyond their referential content.</w:t>
      </w:r>
      <w:r>
        <w:t xml:space="preserve"> </w:t>
      </w:r>
      <w:r>
        <w:t xml:space="preserve"> </w:t>
      </w:r>
      <w:r>
        <w:t xml:space="preserve">introduces</w:t>
      </w:r>
      <w:r>
        <w:t xml:space="preserve"> </w:t>
      </w:r>
      <w:r>
        <w:rPr>
          <w:i/>
          <w:iCs/>
        </w:rPr>
        <w:t xml:space="preserve">indexicality</w:t>
      </w:r>
      <w:r>
        <w:t xml:space="preserve">: linguistic forms index social identities and stances. We propose that toponym variant choice functions as an index—selecting</w:t>
      </w:r>
      <w:r>
        <w:t xml:space="preserve"> </w:t>
      </w:r>
      <w:r>
        <w:t xml:space="preserve">“Kyiv”</w:t>
      </w:r>
      <w:r>
        <w:t xml:space="preserve"> </w:t>
      </w:r>
      <w:r>
        <w:t xml:space="preserve">indexes awareness of Ukrainian sovereignty, while</w:t>
      </w:r>
      <w:r>
        <w:t xml:space="preserve"> </w:t>
      </w:r>
      <w:r>
        <w:t xml:space="preserve">“Kiev”</w:t>
      </w:r>
      <w:r>
        <w:t xml:space="preserve"> </w:t>
      </w:r>
      <w:r>
        <w:t xml:space="preserve">indexes either historical convention or specific discourse domains (food, entertainment).</w:t>
      </w:r>
      <w:r>
        <w:t xml:space="preserve"> </w:t>
      </w:r>
      <w:r>
        <w:t xml:space="preserve"> </w:t>
      </w:r>
      <w:r>
        <w:t xml:space="preserve">provides the language policy framework connecting governmental mandate to observed usage.</w:t>
      </w:r>
    </w:p>
    <w:bookmarkEnd w:id="16"/>
    <w:bookmarkStart w:id="17" w:name="ukrainian-toponym-studies."/>
    <w:p>
      <w:pPr>
        <w:pStyle w:val="Heading4"/>
      </w:pPr>
      <w:r>
        <w:t xml:space="preserve">Ukrainian toponym studies.</w:t>
      </w:r>
    </w:p>
    <w:p>
      <w:pPr>
        <w:pStyle w:val="FirstParagraph"/>
      </w:pPr>
      <w:r>
        <w:t xml:space="preserve">Recent work examines Ukrainian toponymic decolonization from historical and socio-onomastic perspectives.</w:t>
      </w:r>
      <w:r>
        <w:t xml:space="preserve"> </w:t>
      </w:r>
      <w:r>
        <w:t xml:space="preserve"> </w:t>
      </w:r>
      <w:r>
        <w:t xml:space="preserve">analyzes the ideologies of decommunization naming commissions.</w:t>
      </w:r>
      <w:r>
        <w:t xml:space="preserve"> </w:t>
      </w:r>
      <w:r>
        <w:t xml:space="preserve"> </w:t>
      </w:r>
      <w:r>
        <w:t xml:space="preserve">presents a case study of de-Russification in street naming.</w:t>
      </w:r>
      <w:r>
        <w:t xml:space="preserve"> </w:t>
      </w:r>
      <w:r>
        <w:t xml:space="preserve"> </w:t>
      </w:r>
      <w:r>
        <w:t xml:space="preserve">tracks Ukrainian onomastic identity over 15 years. However, all prior work is qualitative or limited to individual cities. No study has computationally measured adoption at scale across multiple independent sources.</w:t>
      </w:r>
    </w:p>
    <w:bookmarkEnd w:id="17"/>
    <w:bookmarkStart w:id="18" w:name="food-and-cultural-identity."/>
    <w:p>
      <w:pPr>
        <w:pStyle w:val="Heading4"/>
      </w:pPr>
      <w:r>
        <w:t xml:space="preserve">Food and cultural identity.</w:t>
      </w:r>
    </w:p>
    <w:p>
      <w:pPr>
        <w:pStyle w:val="FirstParagraph"/>
      </w:pPr>
      <w:r>
        <w:t xml:space="preserve">The cultural stakes extend beyond geography. UNESCO inscribed Ukrainian borscht as intangible heritage under threat in 2022</w:t>
      </w:r>
      <w:r>
        <w:t xml:space="preserve"> </w:t>
      </w:r>
      <w:r>
        <w:t xml:space="preserve">.</w:t>
      </w:r>
      <w:r>
        <w:t xml:space="preserve"> </w:t>
      </w:r>
      <w:r>
        <w:t xml:space="preserve"> </w:t>
      </w:r>
      <w:r>
        <w:t xml:space="preserve">examines wartime food practices as cultural resistance. The game franchise S.T.A.L.K.E.R. switched from</w:t>
      </w:r>
      <w:r>
        <w:t xml:space="preserve"> </w:t>
      </w:r>
      <w:r>
        <w:t xml:space="preserve">“Shadow of Chernobyl”</w:t>
      </w:r>
      <w:r>
        <w:t xml:space="preserve"> </w:t>
      </w:r>
      <w:r>
        <w:t xml:space="preserve">(2007) to</w:t>
      </w:r>
      <w:r>
        <w:t xml:space="preserve"> </w:t>
      </w:r>
      <w:r>
        <w:t xml:space="preserve">“Heart of Chornobyl”</w:t>
      </w:r>
      <w:r>
        <w:t xml:space="preserve"> </w:t>
      </w:r>
      <w:r>
        <w:t xml:space="preserve">(2024), illustrating cultural reclamation in entertainment media.</w:t>
      </w:r>
    </w:p>
    <w:bookmarkEnd w:id="18"/>
    <w:bookmarkEnd w:id="19"/>
    <w:bookmarkStart w:id="25" w:name="sec:data"/>
    <w:p>
      <w:pPr>
        <w:pStyle w:val="Heading1"/>
      </w:pPr>
      <w:r>
        <w:t xml:space="preserve">Data Collection</w:t>
      </w:r>
    </w:p>
    <w:bookmarkStart w:id="21" w:name="toponym-pair-selection"/>
    <w:p>
      <w:pPr>
        <w:pStyle w:val="Heading2"/>
      </w:pPr>
      <w:r>
        <w:t xml:space="preserve">Toponym Pair Selection</w:t>
      </w:r>
    </w:p>
    <w:p>
      <w:pPr>
        <w:pStyle w:val="FirstParagraph"/>
      </w:pPr>
      <w:r>
        <w:t xml:space="preserve">We selected 55 Ukrainian–Russian spelling pairs through three complementary criteria:</w:t>
      </w:r>
    </w:p>
    <w:p>
      <w:pPr>
        <w:numPr>
          <w:ilvl w:val="0"/>
          <w:numId w:val="1002"/>
        </w:numPr>
      </w:pPr>
      <w:r>
        <w:rPr>
          <w:b/>
          <w:bCs/>
        </w:rPr>
        <w:t xml:space="preserve">Systematic extraction</w:t>
      </w:r>
      <w:r>
        <w:t xml:space="preserve"> </w:t>
      </w:r>
      <w:r>
        <w:t xml:space="preserve">from the Ukrainian government’s official derussification list and the corresponding Wikipedia inventory of affected place names</w:t>
      </w:r>
      <w:r>
        <w:t xml:space="preserve"> </w:t>
      </w:r>
      <w:r>
        <w:t xml:space="preserve">.</w:t>
      </w:r>
    </w:p>
    <w:p>
      <w:pPr>
        <w:numPr>
          <w:ilvl w:val="0"/>
          <w:numId w:val="1002"/>
        </w:numPr>
      </w:pPr>
      <w:r>
        <w:rPr>
          <w:b/>
          <w:bCs/>
        </w:rPr>
        <w:t xml:space="preserve">Data-driven filtering</w:t>
      </w:r>
      <w:r>
        <w:t xml:space="preserve">: pairs must have sufficient volume across at least 3 sources for statistical analysis.</w:t>
      </w:r>
    </w:p>
    <w:p>
      <w:pPr>
        <w:numPr>
          <w:ilvl w:val="0"/>
          <w:numId w:val="1002"/>
        </w:numPr>
      </w:pPr>
      <w:r>
        <w:rPr>
          <w:b/>
          <w:bCs/>
        </w:rPr>
        <w:t xml:space="preserve">Expert-informed taxonomy</w:t>
      </w:r>
      <w:r>
        <w:t xml:space="preserve">: consultation with Ukrainian linguists to ensure coverage across 8 semantic categories.</w:t>
      </w:r>
    </w:p>
    <w:p>
      <w:pPr>
        <w:pStyle w:val="FirstParagraph"/>
      </w:pPr>
      <w:r>
        <w:t xml:space="preserve">Table </w:t>
      </w:r>
      <w:hyperlink w:anchor="tab:categories">
        <w:r>
          <w:rPr>
            <w:rStyle w:val="Hyperlink"/>
          </w:rPr>
          <w:t xml:space="preserve">1</w:t>
        </w:r>
      </w:hyperlink>
      <w:r>
        <w:t xml:space="preserve"> </w:t>
      </w:r>
      <w:r>
        <w:t xml:space="preserve">shows the category distribution.</w:t>
      </w:r>
    </w:p>
    <w:bookmarkStart w:id="20" w:name="tab:categories"/>
    <w:p>
      <w:pPr>
        <w:pStyle w:val="TableCaption"/>
      </w:pPr>
      <w:r>
        <w:t xml:space="preserve">Toponym pair categories with example pairs and median adoption rates.</w:t>
      </w:r>
    </w:p>
    <w:tbl>
      <w:tblPr>
        <w:tblStyle w:val="Table"/>
        <w:tblW w:type="auto" w:w="0"/>
        <w:tblLook w:firstRow="1" w:lastRow="0" w:firstColumn="0" w:lastColumn="0" w:noHBand="0" w:noVBand="0" w:val="0020"/>
        <w:tblCaption w:val="Toponym pair categories with example pairs and median adoption rates."/>
      </w:tblPr>
      <w:tblGrid>
        <w:gridCol w:w="1980"/>
        <w:gridCol w:w="1980"/>
        <w:gridCol w:w="1980"/>
        <w:gridCol w:w="1980"/>
      </w:tblGrid>
      <w:tr>
        <w:trPr>
          <w:tblHeader w:val="on"/>
        </w:trPr>
        <w:tc>
          <w:tcPr/>
          <w:p>
            <w:pPr>
              <w:pStyle w:val="Compact"/>
              <w:jc w:val="left"/>
            </w:pPr>
            <w:r>
              <w:rPr>
                <w:b/>
                <w:bCs/>
              </w:rPr>
              <w:t xml:space="preserve">Category</w:t>
            </w:r>
          </w:p>
        </w:tc>
        <w:tc>
          <w:tcPr/>
          <w:p>
            <w:pPr>
              <w:pStyle w:val="Compact"/>
              <w:jc w:val="left"/>
            </w:pPr>
            <w:r>
              <w:rPr>
                <w:b/>
                <w:bCs/>
              </w:rPr>
              <w:t xml:space="preserve">Example</w:t>
            </w:r>
          </w:p>
        </w:tc>
        <w:tc>
          <w:tcPr/>
          <w:p>
            <w:pPr>
              <w:pStyle w:val="Compact"/>
              <w:jc w:val="right"/>
            </w:pPr>
            <w:r>
              <w:rPr>
                <w:b/>
                <w:bCs/>
              </w:rPr>
              <w:t xml:space="preserve">Pairs</w:t>
            </w:r>
          </w:p>
        </w:tc>
        <w:tc>
          <w:tcPr/>
          <w:p>
            <w:pPr>
              <w:pStyle w:val="Compact"/>
              <w:jc w:val="left"/>
            </w:pPr>
            <w:r>
              <w:rPr>
                <w:b/>
                <w:bCs/>
              </w:rPr>
              <w:t xml:space="preserve">Median Adopt.</w:t>
            </w:r>
          </w:p>
        </w:tc>
      </w:tr>
      <w:tr>
        <w:tc>
          <w:tcPr/>
          <w:p>
            <w:pPr>
              <w:pStyle w:val="Compact"/>
              <w:jc w:val="left"/>
            </w:pPr>
            <w:r>
              <w:t xml:space="preserve">Geographical</w:t>
            </w:r>
          </w:p>
        </w:tc>
        <w:tc>
          <w:tcPr/>
          <w:p>
            <w:pPr>
              <w:pStyle w:val="Compact"/>
              <w:jc w:val="left"/>
            </w:pPr>
            <w:r>
              <w:t xml:space="preserve">Kiev</w:t>
            </w:r>
            <w:r>
              <w:t xml:space="preserve"> </w:t>
            </w:r>
            <m:oMath>
              <m:r>
                <m:rPr>
                  <m:sty m:val="p"/>
                </m:rPr>
                <m:t>→</m:t>
              </m:r>
            </m:oMath>
            <w:r>
              <w:t xml:space="preserve"> </w:t>
            </w:r>
            <w:r>
              <w:t xml:space="preserve">Kyiv</w:t>
            </w:r>
          </w:p>
        </w:tc>
        <w:tc>
          <w:tcPr/>
          <w:p>
            <w:pPr>
              <w:pStyle w:val="Compact"/>
              <w:jc w:val="right"/>
            </w:pPr>
            <w:r>
              <w:t xml:space="preserve">22</w:t>
            </w:r>
          </w:p>
        </w:tc>
        <w:tc>
          <w:tcPr/>
          <w:p>
            <w:pPr>
              <w:pStyle w:val="Compact"/>
              <w:jc w:val="left"/>
            </w:pPr>
            <w:r>
              <w:t xml:space="preserve">54.2%</w:t>
            </w:r>
          </w:p>
        </w:tc>
      </w:tr>
      <w:tr>
        <w:tc>
          <w:tcPr/>
          <w:p>
            <w:pPr>
              <w:pStyle w:val="Compact"/>
              <w:jc w:val="left"/>
            </w:pPr>
            <w:r>
              <w:t xml:space="preserve">Food &amp; Cuisine</w:t>
            </w:r>
          </w:p>
        </w:tc>
        <w:tc>
          <w:tcPr/>
          <w:p>
            <w:pPr>
              <w:pStyle w:val="Compact"/>
              <w:jc w:val="left"/>
            </w:pPr>
            <w:r>
              <w:t xml:space="preserve">Borscht</w:t>
            </w:r>
            <w:r>
              <w:t xml:space="preserve"> </w:t>
            </w:r>
            <m:oMath>
              <m:r>
                <m:rPr>
                  <m:sty m:val="p"/>
                </m:rPr>
                <m:t>→</m:t>
              </m:r>
            </m:oMath>
            <w:r>
              <w:t xml:space="preserve"> </w:t>
            </w:r>
            <w:r>
              <w:t xml:space="preserve">Borshch</w:t>
            </w:r>
          </w:p>
        </w:tc>
        <w:tc>
          <w:tcPr/>
          <w:p>
            <w:pPr>
              <w:pStyle w:val="Compact"/>
              <w:jc w:val="right"/>
            </w:pPr>
            <w:r>
              <w:t xml:space="preserve">5</w:t>
            </w:r>
          </w:p>
        </w:tc>
        <w:tc>
          <w:tcPr/>
          <w:p>
            <w:pPr>
              <w:pStyle w:val="Compact"/>
              <w:jc w:val="left"/>
            </w:pPr>
            <w:r>
              <w:t xml:space="preserve">38.1%</w:t>
            </w:r>
          </w:p>
        </w:tc>
      </w:tr>
      <w:tr>
        <w:tc>
          <w:tcPr/>
          <w:p>
            <w:pPr>
              <w:pStyle w:val="Compact"/>
              <w:jc w:val="left"/>
            </w:pPr>
            <w:r>
              <w:t xml:space="preserve">Historical</w:t>
            </w:r>
          </w:p>
        </w:tc>
        <w:tc>
          <w:tcPr/>
          <w:p>
            <w:pPr>
              <w:pStyle w:val="Compact"/>
              <w:jc w:val="left"/>
            </w:pPr>
            <w:r>
              <w:t xml:space="preserve">Kievan</w:t>
            </w:r>
            <w:r>
              <w:t xml:space="preserve"> </w:t>
            </w:r>
            <m:oMath>
              <m:r>
                <m:rPr>
                  <m:sty m:val="p"/>
                </m:rPr>
                <m:t>→</m:t>
              </m:r>
            </m:oMath>
            <w:r>
              <w:t xml:space="preserve"> </w:t>
            </w:r>
            <w:r>
              <w:t xml:space="preserve">Kyivan Rus</w:t>
            </w:r>
          </w:p>
        </w:tc>
        <w:tc>
          <w:tcPr/>
          <w:p>
            <w:pPr>
              <w:pStyle w:val="Compact"/>
              <w:jc w:val="right"/>
            </w:pPr>
            <w:r>
              <w:t xml:space="preserve">4</w:t>
            </w:r>
          </w:p>
        </w:tc>
        <w:tc>
          <w:tcPr/>
          <w:p>
            <w:pPr>
              <w:pStyle w:val="Compact"/>
              <w:jc w:val="left"/>
            </w:pPr>
            <w:r>
              <w:t xml:space="preserve">12.3%</w:t>
            </w:r>
          </w:p>
        </w:tc>
      </w:tr>
      <w:tr>
        <w:tc>
          <w:tcPr/>
          <w:p>
            <w:pPr>
              <w:pStyle w:val="Compact"/>
              <w:jc w:val="left"/>
            </w:pPr>
            <w:r>
              <w:t xml:space="preserve">People</w:t>
            </w:r>
          </w:p>
        </w:tc>
        <w:tc>
          <w:tcPr/>
          <w:p>
            <w:pPr>
              <w:pStyle w:val="Compact"/>
              <w:jc w:val="left"/>
            </w:pPr>
            <w:r>
              <w:t xml:space="preserve">Zelensky</w:t>
            </w:r>
            <w:r>
              <w:t xml:space="preserve"> </w:t>
            </w:r>
            <m:oMath>
              <m:r>
                <m:rPr>
                  <m:sty m:val="p"/>
                </m:rPr>
                <m:t>→</m:t>
              </m:r>
            </m:oMath>
            <w:r>
              <w:t xml:space="preserve"> </w:t>
            </w:r>
            <w:r>
              <w:t xml:space="preserve">Zelenskyy</w:t>
            </w:r>
          </w:p>
        </w:tc>
        <w:tc>
          <w:tcPr/>
          <w:p>
            <w:pPr>
              <w:pStyle w:val="Compact"/>
              <w:jc w:val="right"/>
            </w:pPr>
            <w:r>
              <w:t xml:space="preserve">4</w:t>
            </w:r>
          </w:p>
        </w:tc>
        <w:tc>
          <w:tcPr/>
          <w:p>
            <w:pPr>
              <w:pStyle w:val="Compact"/>
              <w:jc w:val="left"/>
            </w:pPr>
            <w:r>
              <w:t xml:space="preserve">49.7%</w:t>
            </w:r>
          </w:p>
        </w:tc>
      </w:tr>
      <w:tr>
        <w:tc>
          <w:tcPr/>
          <w:p>
            <w:pPr>
              <w:pStyle w:val="Compact"/>
              <w:jc w:val="left"/>
            </w:pPr>
            <w:r>
              <w:t xml:space="preserve">Sports</w:t>
            </w:r>
          </w:p>
        </w:tc>
        <w:tc>
          <w:tcPr/>
          <w:p>
            <w:pPr>
              <w:pStyle w:val="Compact"/>
              <w:jc w:val="left"/>
            </w:pPr>
            <w:r>
              <w:t xml:space="preserve">Dynamo Kiev</w:t>
            </w:r>
            <w:r>
              <w:t xml:space="preserve"> </w:t>
            </w:r>
            <m:oMath>
              <m:r>
                <m:rPr>
                  <m:sty m:val="p"/>
                </m:rPr>
                <m:t>→</m:t>
              </m:r>
            </m:oMath>
            <w:r>
              <w:t xml:space="preserve"> </w:t>
            </w:r>
            <w:r>
              <w:t xml:space="preserve">Dynamo Kyiv</w:t>
            </w:r>
          </w:p>
        </w:tc>
        <w:tc>
          <w:tcPr/>
          <w:p>
            <w:pPr>
              <w:pStyle w:val="Compact"/>
              <w:jc w:val="right"/>
            </w:pPr>
            <w:r>
              <w:t xml:space="preserve">5</w:t>
            </w:r>
          </w:p>
        </w:tc>
        <w:tc>
          <w:tcPr/>
          <w:p>
            <w:pPr>
              <w:pStyle w:val="Compact"/>
              <w:jc w:val="left"/>
            </w:pPr>
            <w:r>
              <w:t xml:space="preserve">61.2%</w:t>
            </w:r>
          </w:p>
        </w:tc>
      </w:tr>
      <w:tr>
        <w:tc>
          <w:tcPr/>
          <w:p>
            <w:pPr>
              <w:pStyle w:val="Compact"/>
              <w:jc w:val="left"/>
            </w:pPr>
            <w:r>
              <w:t xml:space="preserve">Landmarks</w:t>
            </w:r>
          </w:p>
        </w:tc>
        <w:tc>
          <w:tcPr/>
          <w:p>
            <w:pPr>
              <w:pStyle w:val="Compact"/>
              <w:jc w:val="left"/>
            </w:pPr>
            <w:r>
              <w:t xml:space="preserve">Babi Yar</w:t>
            </w:r>
            <w:r>
              <w:t xml:space="preserve"> </w:t>
            </w:r>
            <m:oMath>
              <m:r>
                <m:rPr>
                  <m:sty m:val="p"/>
                </m:rPr>
                <m:t>→</m:t>
              </m:r>
            </m:oMath>
            <w:r>
              <w:t xml:space="preserve"> </w:t>
            </w:r>
            <w:r>
              <w:t xml:space="preserve">Babyn Yar</w:t>
            </w:r>
          </w:p>
        </w:tc>
        <w:tc>
          <w:tcPr/>
          <w:p>
            <w:pPr>
              <w:pStyle w:val="Compact"/>
              <w:jc w:val="right"/>
            </w:pPr>
            <w:r>
              <w:t xml:space="preserve">5</w:t>
            </w:r>
          </w:p>
        </w:tc>
        <w:tc>
          <w:tcPr/>
          <w:p>
            <w:pPr>
              <w:pStyle w:val="Compact"/>
              <w:jc w:val="left"/>
            </w:pPr>
            <w:r>
              <w:t xml:space="preserve">43.5%</w:t>
            </w:r>
          </w:p>
        </w:tc>
      </w:tr>
      <w:tr>
        <w:tc>
          <w:tcPr/>
          <w:p>
            <w:pPr>
              <w:pStyle w:val="Compact"/>
              <w:jc w:val="left"/>
            </w:pPr>
            <w:r>
              <w:t xml:space="preserve">Country-level</w:t>
            </w:r>
          </w:p>
        </w:tc>
        <w:tc>
          <w:tcPr/>
          <w:p>
            <w:pPr>
              <w:pStyle w:val="Compact"/>
              <w:jc w:val="left"/>
            </w:pPr>
            <w:r>
              <w:t xml:space="preserve">the Ukraine</w:t>
            </w:r>
            <w:r>
              <w:t xml:space="preserve"> </w:t>
            </w:r>
            <m:oMath>
              <m:r>
                <m:rPr>
                  <m:sty m:val="p"/>
                </m:rPr>
                <m:t>→</m:t>
              </m:r>
            </m:oMath>
            <w:r>
              <w:t xml:space="preserve"> </w:t>
            </w:r>
            <w:r>
              <w:t xml:space="preserve">Ukraine</w:t>
            </w:r>
          </w:p>
        </w:tc>
        <w:tc>
          <w:tcPr/>
          <w:p>
            <w:pPr>
              <w:pStyle w:val="Compact"/>
              <w:jc w:val="right"/>
            </w:pPr>
            <w:r>
              <w:t xml:space="preserve">3</w:t>
            </w:r>
          </w:p>
        </w:tc>
        <w:tc>
          <w:tcPr/>
          <w:p>
            <w:pPr>
              <w:pStyle w:val="Compact"/>
              <w:jc w:val="left"/>
            </w:pPr>
            <w:r>
              <w:t xml:space="preserve">71.8%</w:t>
            </w:r>
          </w:p>
        </w:tc>
      </w:tr>
      <w:tr>
        <w:tc>
          <w:tcPr/>
          <w:p>
            <w:pPr>
              <w:pStyle w:val="Compact"/>
              <w:jc w:val="left"/>
            </w:pPr>
            <w:r>
              <w:t xml:space="preserve">Institutional</w:t>
            </w:r>
          </w:p>
        </w:tc>
        <w:tc>
          <w:tcPr/>
          <w:p>
            <w:pPr>
              <w:pStyle w:val="Compact"/>
              <w:jc w:val="left"/>
            </w:pPr>
            <w:r>
              <w:t xml:space="preserve">Kiev Patriarchate</w:t>
            </w:r>
          </w:p>
        </w:tc>
        <w:tc>
          <w:tcPr/>
          <w:p>
            <w:pPr>
              <w:pStyle w:val="Compact"/>
              <w:jc w:val="right"/>
            </w:pPr>
            <w:r>
              <w:t xml:space="preserve">7</w:t>
            </w:r>
          </w:p>
        </w:tc>
        <w:tc>
          <w:tcPr/>
          <w:p>
            <w:pPr>
              <w:pStyle w:val="Compact"/>
              <w:jc w:val="left"/>
            </w:pPr>
            <w:r>
              <w:t xml:space="preserve">35.6%</w:t>
            </w:r>
          </w:p>
        </w:tc>
      </w:tr>
    </w:tbl>
    <w:bookmarkEnd w:id="20"/>
    <w:bookmarkEnd w:id="21"/>
    <w:bookmarkStart w:id="23" w:name="data-sources"/>
    <w:p>
      <w:pPr>
        <w:pStyle w:val="Heading2"/>
      </w:pPr>
      <w:r>
        <w:t xml:space="preserve">Data Sources</w:t>
      </w:r>
    </w:p>
    <w:p>
      <w:pPr>
        <w:pStyle w:val="FirstParagraph"/>
      </w:pPr>
      <w:r>
        <w:t xml:space="preserve">Table </w:t>
      </w:r>
      <w:hyperlink w:anchor="tab:sources">
        <w:r>
          <w:rPr>
            <w:rStyle w:val="Hyperlink"/>
          </w:rPr>
          <w:t xml:space="preserve">2</w:t>
        </w:r>
      </w:hyperlink>
      <w:r>
        <w:t xml:space="preserve"> </w:t>
      </w:r>
      <w:r>
        <w:t xml:space="preserve">summarizes the 7 independent data sources spanning different domains of language production.</w:t>
      </w:r>
    </w:p>
    <w:bookmarkStart w:id="22" w:name="tab:sources"/>
    <w:p>
      <w:pPr>
        <w:pStyle w:val="TableCaption"/>
      </w:pPr>
      <w:r>
        <w:t xml:space="preserve">Data sources with record counts and coverage.</w:t>
      </w:r>
    </w:p>
    <w:tbl>
      <w:tblPr>
        <w:tblStyle w:val="Table"/>
        <w:tblW w:type="auto" w:w="0"/>
        <w:tblLook w:firstRow="1" w:lastRow="0" w:firstColumn="0" w:lastColumn="0" w:noHBand="0" w:noVBand="0" w:val="0020"/>
        <w:tblCaption w:val="Data sources with record counts and coverage."/>
      </w:tblPr>
      <w:tblGrid>
        <w:gridCol w:w="1980"/>
        <w:gridCol w:w="1980"/>
        <w:gridCol w:w="1980"/>
        <w:gridCol w:w="1980"/>
      </w:tblGrid>
      <w:tr>
        <w:trPr>
          <w:tblHeader w:val="on"/>
        </w:trPr>
        <w:tc>
          <w:tcPr/>
          <w:p>
            <w:pPr>
              <w:pStyle w:val="Compact"/>
              <w:jc w:val="left"/>
            </w:pPr>
            <w:r>
              <w:rPr>
                <w:b/>
                <w:bCs/>
              </w:rPr>
              <w:t xml:space="preserve">Source</w:t>
            </w:r>
          </w:p>
        </w:tc>
        <w:tc>
          <w:tcPr/>
          <w:p>
            <w:pPr>
              <w:pStyle w:val="Compact"/>
              <w:jc w:val="right"/>
            </w:pPr>
            <w:r>
              <w:rPr>
                <w:b/>
                <w:bCs/>
              </w:rPr>
              <w:t xml:space="preserve">Records</w:t>
            </w:r>
          </w:p>
        </w:tc>
        <w:tc>
          <w:tcPr/>
          <w:p>
            <w:pPr>
              <w:pStyle w:val="Compact"/>
              <w:jc w:val="left"/>
            </w:pPr>
            <w:r>
              <w:rPr>
                <w:b/>
                <w:bCs/>
              </w:rPr>
              <w:t xml:space="preserve">Domain</w:t>
            </w:r>
          </w:p>
        </w:tc>
        <w:tc>
          <w:tcPr/>
          <w:p>
            <w:pPr>
              <w:pStyle w:val="Compact"/>
              <w:jc w:val="left"/>
            </w:pPr>
            <w:r>
              <w:rPr>
                <w:b/>
                <w:bCs/>
              </w:rPr>
              <w:t xml:space="preserve">Period</w:t>
            </w:r>
          </w:p>
        </w:tc>
      </w:tr>
      <w:tr>
        <w:tc>
          <w:tcPr/>
          <w:p>
            <w:pPr>
              <w:pStyle w:val="Compact"/>
              <w:jc w:val="left"/>
            </w:pPr>
            <w:r>
              <w:t xml:space="preserve">Wikipedia</w:t>
            </w:r>
          </w:p>
        </w:tc>
        <w:tc>
          <w:tcPr/>
          <w:p>
            <w:pPr>
              <w:pStyle w:val="Compact"/>
              <w:jc w:val="right"/>
            </w:pPr>
            <w:r>
              <w:t xml:space="preserve">573M</w:t>
            </w:r>
          </w:p>
        </w:tc>
        <w:tc>
          <w:tcPr/>
          <w:p>
            <w:pPr>
              <w:pStyle w:val="Compact"/>
              <w:jc w:val="left"/>
            </w:pPr>
            <w:r>
              <w:t xml:space="preserve">Encyclopedia</w:t>
            </w:r>
          </w:p>
        </w:tc>
        <w:tc>
          <w:tcPr/>
          <w:p>
            <w:pPr>
              <w:pStyle w:val="Compact"/>
              <w:jc w:val="left"/>
            </w:pPr>
            <w:r>
              <w:t xml:space="preserve">2015–2026</w:t>
            </w:r>
          </w:p>
        </w:tc>
      </w:tr>
      <w:tr>
        <w:tc>
          <w:tcPr/>
          <w:p>
            <w:pPr>
              <w:pStyle w:val="Compact"/>
              <w:jc w:val="left"/>
            </w:pPr>
            <w:r>
              <w:t xml:space="preserve">GDELT</w:t>
            </w:r>
          </w:p>
        </w:tc>
        <w:tc>
          <w:tcPr/>
          <w:p>
            <w:pPr>
              <w:pStyle w:val="Compact"/>
              <w:jc w:val="right"/>
            </w:pPr>
            <w:r>
              <w:t xml:space="preserve">39.6M</w:t>
            </w:r>
          </w:p>
        </w:tc>
        <w:tc>
          <w:tcPr/>
          <w:p>
            <w:pPr>
              <w:pStyle w:val="Compact"/>
              <w:jc w:val="left"/>
            </w:pPr>
            <w:r>
              <w:t xml:space="preserve">News articles</w:t>
            </w:r>
          </w:p>
        </w:tc>
        <w:tc>
          <w:tcPr/>
          <w:p>
            <w:pPr>
              <w:pStyle w:val="Compact"/>
              <w:jc w:val="left"/>
            </w:pPr>
            <w:r>
              <w:t xml:space="preserve">2015–2026</w:t>
            </w:r>
          </w:p>
        </w:tc>
      </w:tr>
      <w:tr>
        <w:tc>
          <w:tcPr/>
          <w:p>
            <w:pPr>
              <w:pStyle w:val="Compact"/>
              <w:jc w:val="left"/>
            </w:pPr>
            <w:r>
              <w:t xml:space="preserve">OpenAlex</w:t>
            </w:r>
          </w:p>
        </w:tc>
        <w:tc>
          <w:tcPr/>
          <w:p>
            <w:pPr>
              <w:pStyle w:val="Compact"/>
              <w:jc w:val="right"/>
            </w:pPr>
            <w:r>
              <w:t xml:space="preserve">379K</w:t>
            </w:r>
          </w:p>
        </w:tc>
        <w:tc>
          <w:tcPr/>
          <w:p>
            <w:pPr>
              <w:pStyle w:val="Compact"/>
              <w:jc w:val="left"/>
            </w:pPr>
            <w:r>
              <w:t xml:space="preserve">Academic papers</w:t>
            </w:r>
          </w:p>
        </w:tc>
        <w:tc>
          <w:tcPr/>
          <w:p>
            <w:pPr>
              <w:pStyle w:val="Compact"/>
              <w:jc w:val="left"/>
            </w:pPr>
            <w:r>
              <w:t xml:space="preserve">2010–2026</w:t>
            </w:r>
          </w:p>
        </w:tc>
      </w:tr>
      <w:tr>
        <w:tc>
          <w:tcPr/>
          <w:p>
            <w:pPr>
              <w:pStyle w:val="Compact"/>
              <w:jc w:val="left"/>
            </w:pPr>
            <w:r>
              <w:t xml:space="preserve">Google Trends</w:t>
            </w:r>
          </w:p>
        </w:tc>
        <w:tc>
          <w:tcPr/>
          <w:p>
            <w:pPr>
              <w:pStyle w:val="Compact"/>
              <w:jc w:val="right"/>
            </w:pPr>
            <w:r>
              <w:t xml:space="preserve">152K</w:t>
            </w:r>
          </w:p>
        </w:tc>
        <w:tc>
          <w:tcPr/>
          <w:p>
            <w:pPr>
              <w:pStyle w:val="Compact"/>
              <w:jc w:val="left"/>
            </w:pPr>
            <w:r>
              <w:t xml:space="preserve">Search interest</w:t>
            </w:r>
          </w:p>
        </w:tc>
        <w:tc>
          <w:tcPr/>
          <w:p>
            <w:pPr>
              <w:pStyle w:val="Compact"/>
              <w:jc w:val="left"/>
            </w:pPr>
            <w:r>
              <w:t xml:space="preserve">2010–2026</w:t>
            </w:r>
          </w:p>
        </w:tc>
      </w:tr>
      <w:tr>
        <w:tc>
          <w:tcPr/>
          <w:p>
            <w:pPr>
              <w:pStyle w:val="Compact"/>
              <w:jc w:val="left"/>
            </w:pPr>
            <w:r>
              <w:t xml:space="preserve">Reddit</w:t>
            </w:r>
          </w:p>
        </w:tc>
        <w:tc>
          <w:tcPr/>
          <w:p>
            <w:pPr>
              <w:pStyle w:val="Compact"/>
              <w:jc w:val="right"/>
            </w:pPr>
            <w:r>
              <w:t xml:space="preserve">22K</w:t>
            </w:r>
          </w:p>
        </w:tc>
        <w:tc>
          <w:tcPr/>
          <w:p>
            <w:pPr>
              <w:pStyle w:val="Compact"/>
              <w:jc w:val="left"/>
            </w:pPr>
            <w:r>
              <w:t xml:space="preserve">Social media</w:t>
            </w:r>
          </w:p>
        </w:tc>
        <w:tc>
          <w:tcPr/>
          <w:p>
            <w:pPr>
              <w:pStyle w:val="Compact"/>
              <w:jc w:val="left"/>
            </w:pPr>
            <w:r>
              <w:t xml:space="preserve">2007–2026</w:t>
            </w:r>
          </w:p>
        </w:tc>
      </w:tr>
      <w:tr>
        <w:tc>
          <w:tcPr/>
          <w:p>
            <w:pPr>
              <w:pStyle w:val="Compact"/>
              <w:jc w:val="left"/>
            </w:pPr>
            <w:r>
              <w:t xml:space="preserve">YouTube</w:t>
            </w:r>
          </w:p>
        </w:tc>
        <w:tc>
          <w:tcPr/>
          <w:p>
            <w:pPr>
              <w:pStyle w:val="Compact"/>
              <w:jc w:val="right"/>
            </w:pPr>
            <w:r>
              <w:t xml:space="preserve">14.5K</w:t>
            </w:r>
          </w:p>
        </w:tc>
        <w:tc>
          <w:tcPr/>
          <w:p>
            <w:pPr>
              <w:pStyle w:val="Compact"/>
              <w:jc w:val="left"/>
            </w:pPr>
            <w:r>
              <w:t xml:space="preserve">Video metadata</w:t>
            </w:r>
          </w:p>
        </w:tc>
        <w:tc>
          <w:tcPr/>
          <w:p>
            <w:pPr>
              <w:pStyle w:val="Compact"/>
              <w:jc w:val="left"/>
            </w:pPr>
            <w:r>
              <w:t xml:space="preserve">2006–2026</w:t>
            </w:r>
          </w:p>
        </w:tc>
      </w:tr>
      <w:tr>
        <w:tc>
          <w:tcPr/>
          <w:p>
            <w:pPr>
              <w:pStyle w:val="Compact"/>
              <w:jc w:val="left"/>
            </w:pPr>
            <w:r>
              <w:t xml:space="preserve">Google Ngrams</w:t>
            </w:r>
          </w:p>
        </w:tc>
        <w:tc>
          <w:tcPr/>
          <w:p>
            <w:pPr>
              <w:pStyle w:val="Compact"/>
              <w:jc w:val="right"/>
            </w:pPr>
            <w:r>
              <w:t xml:space="preserve">11.6K</w:t>
            </w:r>
          </w:p>
        </w:tc>
        <w:tc>
          <w:tcPr/>
          <w:p>
            <w:pPr>
              <w:pStyle w:val="Compact"/>
              <w:jc w:val="left"/>
            </w:pPr>
            <w:r>
              <w:t xml:space="preserve">Book frequency</w:t>
            </w:r>
          </w:p>
        </w:tc>
        <w:tc>
          <w:tcPr/>
          <w:p>
            <w:pPr>
              <w:pStyle w:val="Compact"/>
              <w:jc w:val="left"/>
            </w:pPr>
            <w:r>
              <w:t xml:space="preserve">1900–2019</w:t>
            </w:r>
          </w:p>
        </w:tc>
      </w:tr>
      <w:tr>
        <w:tc>
          <w:tcPr/>
          <w:p>
            <w:pPr>
              <w:pStyle w:val="Compact"/>
              <w:jc w:val="left"/>
            </w:pPr>
            <w:r>
              <w:rPr>
                <w:b/>
                <w:bCs/>
              </w:rPr>
              <w:t xml:space="preserve">Total</w:t>
            </w:r>
          </w:p>
        </w:tc>
        <w:tc>
          <w:tcPr/>
          <w:p>
            <w:pPr>
              <w:pStyle w:val="Compact"/>
              <w:jc w:val="right"/>
            </w:pPr>
            <w:r>
              <w:rPr>
                <w:b/>
                <w:bCs/>
              </w:rPr>
              <w:t xml:space="preserve">613M+</w:t>
            </w:r>
          </w:p>
        </w:tc>
        <w:tc>
          <w:tcPr/>
          <w:p>
            <w:pPr>
              <w:pStyle w:val="Compact"/>
            </w:pPr>
          </w:p>
        </w:tc>
        <w:tc>
          <w:tcPr/>
          <w:p>
            <w:pPr>
              <w:pStyle w:val="Compact"/>
            </w:pPr>
          </w:p>
        </w:tc>
      </w:tr>
    </w:tbl>
    <w:bookmarkEnd w:id="22"/>
    <w:bookmarkEnd w:id="23"/>
    <w:bookmarkStart w:id="24" w:name="adoption-metric"/>
    <w:p>
      <w:pPr>
        <w:pStyle w:val="Heading2"/>
      </w:pPr>
      <w:r>
        <w:t xml:space="preserve">Adoption Metric</w:t>
      </w:r>
    </w:p>
    <w:p>
      <w:pPr>
        <w:pStyle w:val="FirstParagraph"/>
      </w:pPr>
      <w:r>
        <w:t xml:space="preserve">For each pair, we compute adoption as the mean of per-source Ukrainian ratios:</w:t>
      </w:r>
    </w:p>
    <w:p>
      <w:pPr>
        <w:pStyle w:val="BodyText"/>
      </w:pPr>
      <m:oMathPara>
        <m:oMathParaPr>
          <m:jc m:val="center"/>
        </m:oMathParaPr>
        <m:oMath>
          <m:r>
            <m:rPr>
              <m:nor/>
              <m:sty m:val="p"/>
            </m:rPr>
            <m:t>Adoption</m:t>
          </m:r>
          <m:r>
            <m:rPr>
              <m:sty m:val="p"/>
            </m:rPr>
            <m:t>(</m:t>
          </m:r>
          <m:r>
            <m:t>p</m:t>
          </m:r>
          <m:r>
            <m:rPr>
              <m:sty m:val="p"/>
            </m:rPr>
            <m:t>)</m:t>
          </m:r>
          <m:r>
            <m:rPr>
              <m:sty m:val="p"/>
            </m:rPr>
            <m:t>=</m:t>
          </m:r>
          <m:f>
            <m:fPr>
              <m:type m:val="bar"/>
            </m:fPr>
            <m:num>
              <m:r>
                <m:t>1</m:t>
              </m:r>
            </m:num>
            <m:den>
              <m:r>
                <m:rPr>
                  <m:sty m:val="p"/>
                </m:rPr>
                <m:t>|</m:t>
              </m:r>
              <m:sSub>
                <m:e>
                  <m:r>
                    <m:t>S</m:t>
                  </m:r>
                </m:e>
                <m:sub>
                  <m:r>
                    <m:t>p</m:t>
                  </m:r>
                </m:sub>
              </m:sSub>
              <m:r>
                <m:rPr>
                  <m:sty m:val="p"/>
                </m:rPr>
                <m:t>|</m:t>
              </m:r>
            </m:den>
          </m:f>
          <m:nary>
            <m:naryPr>
              <m:chr m:val="∑"/>
              <m:limLoc m:val="undOvr"/>
              <m:subHide m:val="off"/>
              <m:supHide m:val="on"/>
            </m:naryPr>
            <m:sub>
              <m:r>
                <m:t>s</m:t>
              </m:r>
              <m:r>
                <m:rPr>
                  <m:sty m:val="p"/>
                </m:rPr>
                <m:t>∈</m:t>
              </m:r>
              <m:sSub>
                <m:e>
                  <m:r>
                    <m:t>S</m:t>
                  </m:r>
                </m:e>
                <m:sub>
                  <m:r>
                    <m:t>p</m:t>
                  </m:r>
                </m:sub>
              </m:sSub>
            </m:sub>
            <m:sup>
              <m:r>
                <m:t>​</m:t>
              </m:r>
            </m:sup>
            <m:e>
              <m:f>
                <m:fPr>
                  <m:type m:val="bar"/>
                </m:fPr>
                <m:num>
                  <m:sSubSup>
                    <m:e>
                      <m:r>
                        <m:t>n</m:t>
                      </m:r>
                    </m:e>
                    <m:sub>
                      <m:r>
                        <m:rPr>
                          <m:nor/>
                          <m:sty m:val="p"/>
                        </m:rPr>
                        <m:t>UA</m:t>
                      </m:r>
                    </m:sub>
                    <m:sup>
                      <m:r>
                        <m:rPr>
                          <m:sty m:val="p"/>
                        </m:rPr>
                        <m:t>(</m:t>
                      </m:r>
                      <m:r>
                        <m:t>p</m:t>
                      </m:r>
                      <m:r>
                        <m:rPr>
                          <m:sty m:val="p"/>
                        </m:rPr>
                        <m:t>,</m:t>
                      </m:r>
                      <m:r>
                        <m:t>s</m:t>
                      </m:r>
                      <m:r>
                        <m:rPr>
                          <m:sty m:val="p"/>
                        </m:rPr>
                        <m:t>)</m:t>
                      </m:r>
                    </m:sup>
                  </m:sSubSup>
                </m:num>
                <m:den>
                  <m:sSubSup>
                    <m:e>
                      <m:r>
                        <m:t>n</m:t>
                      </m:r>
                    </m:e>
                    <m:sub>
                      <m:r>
                        <m:rPr>
                          <m:nor/>
                          <m:sty m:val="p"/>
                        </m:rPr>
                        <m:t>UA</m:t>
                      </m:r>
                    </m:sub>
                    <m:sup>
                      <m:r>
                        <m:rPr>
                          <m:sty m:val="p"/>
                        </m:rPr>
                        <m:t>(</m:t>
                      </m:r>
                      <m:r>
                        <m:t>p</m:t>
                      </m:r>
                      <m:r>
                        <m:rPr>
                          <m:sty m:val="p"/>
                        </m:rPr>
                        <m:t>,</m:t>
                      </m:r>
                      <m:r>
                        <m:t>s</m:t>
                      </m:r>
                      <m:r>
                        <m:rPr>
                          <m:sty m:val="p"/>
                        </m:rPr>
                        <m:t>)</m:t>
                      </m:r>
                    </m:sup>
                  </m:sSubSup>
                  <m:r>
                    <m:rPr>
                      <m:sty m:val="p"/>
                    </m:rPr>
                    <m:t>+</m:t>
                  </m:r>
                  <m:sSubSup>
                    <m:e>
                      <m:r>
                        <m:t>n</m:t>
                      </m:r>
                    </m:e>
                    <m:sub>
                      <m:r>
                        <m:rPr>
                          <m:nor/>
                          <m:sty m:val="p"/>
                        </m:rPr>
                        <m:t>RU</m:t>
                      </m:r>
                    </m:sub>
                    <m:sup>
                      <m:r>
                        <m:rPr>
                          <m:sty m:val="p"/>
                        </m:rPr>
                        <m:t>(</m:t>
                      </m:r>
                      <m:r>
                        <m:t>p</m:t>
                      </m:r>
                      <m:r>
                        <m:rPr>
                          <m:sty m:val="p"/>
                        </m:rPr>
                        <m:t>,</m:t>
                      </m:r>
                      <m:r>
                        <m:t>s</m:t>
                      </m:r>
                      <m:r>
                        <m:rPr>
                          <m:sty m:val="p"/>
                        </m:rPr>
                        <m:t>)</m:t>
                      </m:r>
                    </m:sup>
                  </m:sSubSup>
                </m:den>
              </m:f>
            </m:e>
          </m:nary>
        </m:oMath>
      </m:oMathPara>
    </w:p>
    <w:p>
      <w:pPr>
        <w:pStyle w:val="FirstParagraph"/>
      </w:pPr>
      <w:r>
        <w:t xml:space="preserve">where</w:t>
      </w:r>
      <w:r>
        <w:t xml:space="preserve"> </w:t>
      </w:r>
      <m:oMath>
        <m:sSub>
          <m:e>
            <m:r>
              <m:t>S</m:t>
            </m:r>
          </m:e>
          <m:sub>
            <m:r>
              <m:t>p</m:t>
            </m:r>
          </m:sub>
        </m:sSub>
      </m:oMath>
      <w:r>
        <w:t xml:space="preserve"> </w:t>
      </w:r>
      <w:r>
        <w:t xml:space="preserve">is the set of sources with at least</w:t>
      </w:r>
      <w:r>
        <w:t xml:space="preserve"> </w:t>
      </w:r>
      <m:oMath>
        <m:sSub>
          <m:e>
            <m:r>
              <m:t>τ</m:t>
            </m:r>
          </m:e>
          <m:sub>
            <m:r>
              <m:t>s</m:t>
            </m:r>
          </m:sub>
        </m:sSub>
      </m:oMath>
      <w:r>
        <w:t xml:space="preserve"> </w:t>
      </w:r>
      <w:r>
        <w:t xml:space="preserve">records for pair</w:t>
      </w:r>
      <w:r>
        <w:t xml:space="preserve"> </w:t>
      </w:r>
      <m:oMath>
        <m:r>
          <m:t>p</m:t>
        </m:r>
      </m:oMath>
      <w:r>
        <w:t xml:space="preserve"> </w:t>
      </w:r>
      <w:r>
        <w:t xml:space="preserve">(thresholds: GDELT</w:t>
      </w:r>
      <w:r>
        <w:t xml:space="preserve"> </w:t>
      </w:r>
      <m:oMath>
        <m:r>
          <m:t>τ</m:t>
        </m:r>
        <m:r>
          <m:rPr>
            <m:sty m:val="p"/>
          </m:rPr>
          <m:t>=</m:t>
        </m:r>
        <m:r>
          <m:t>10</m:t>
        </m:r>
      </m:oMath>
      <w:r>
        <w:t xml:space="preserve">, Trends</w:t>
      </w:r>
      <w:r>
        <w:t xml:space="preserve"> </w:t>
      </w:r>
      <m:oMath>
        <m:r>
          <m:t>τ</m:t>
        </m:r>
        <m:r>
          <m:rPr>
            <m:sty m:val="p"/>
          </m:rPr>
          <m:t>=</m:t>
        </m:r>
        <m:r>
          <m:t>5</m:t>
        </m:r>
      </m:oMath>
      <w:r>
        <w:t xml:space="preserve">, others</w:t>
      </w:r>
      <w:r>
        <w:t xml:space="preserve"> </w:t>
      </w:r>
      <m:oMath>
        <m:r>
          <m:t>τ</m:t>
        </m:r>
        <m:r>
          <m:rPr>
            <m:sty m:val="p"/>
          </m:rPr>
          <m:t>=</m:t>
        </m:r>
        <m:r>
          <m:t>3</m:t>
        </m:r>
      </m:oMath>
      <w:r>
        <w:t xml:space="preserve">). This equal-weight formulation prevents Wikipedia’s 573M pageviews from dominating the metric. Values are computed from the most recent 12 months.</w:t>
      </w:r>
    </w:p>
    <w:bookmarkEnd w:id="24"/>
    <w:bookmarkEnd w:id="25"/>
    <w:bookmarkStart w:id="31" w:name="sec:adoption"/>
    <w:p>
      <w:pPr>
        <w:pStyle w:val="Heading1"/>
      </w:pPr>
      <w:r>
        <w:t xml:space="preserve">Adoption Analysis</w:t>
      </w:r>
    </w:p>
    <w:bookmarkStart w:id="27" w:name="cross-source-comparison"/>
    <w:p>
      <w:pPr>
        <w:pStyle w:val="Heading2"/>
      </w:pPr>
      <w:r>
        <w:t xml:space="preserve">Cross-Source Comparison</w:t>
      </w:r>
    </w:p>
    <w:p>
      <w:pPr>
        <w:pStyle w:val="FirstParagraph"/>
      </w:pPr>
      <w:r>
        <w:t xml:space="preserve">Figure </w:t>
      </w:r>
      <w:hyperlink w:anchor="fig:adoption-spread">
        <w:r>
          <w:rPr>
            <w:rStyle w:val="Hyperlink"/>
          </w:rPr>
          <w:t xml:space="preserve">1</w:t>
        </w:r>
      </w:hyperlink>
      <w:r>
        <w:t xml:space="preserve"> </w:t>
      </w:r>
      <w:r>
        <w:t xml:space="preserve">shows adoption rates vary dramatically across sources. For Kiev/Kyiv, Wikipedia shows 95% adoption while Google Trends shows 35%—a 60 percentage point spread. The median cross-source spread across all pairs is 54pp, indicating that adoption is highly domain-dependent.</w:t>
      </w:r>
    </w:p>
    <w:bookmarkStart w:id="26" w:name="fig:adoption-spread"/>
    <w:tbl>
      <w:tblPr>
        <w:tblStyle w:val="FigureTable"/>
        <w:tblW w:type="auto" w:w="0"/>
        <w:jc w:val="center"/>
        <w:tblLook w:firstRow="0" w:lastRow="0" w:firstColumn="0" w:lastColumn="0"/>
      </w:tblPr>
      <w:tblGrid/>
    </w:tbl>
    <w:p>
      <w:pPr>
        <w:pStyle w:val="ImageCaption"/>
      </w:pPr>
      <w:r>
        <w:t xml:space="preserve">Adoption rates by source for 6 key pairs. Wikipedia and Reddit lead adoption; Google Trends and Ngrams lag. Spread exceeds 50pp for most pairs.</w:t>
      </w:r>
    </w:p>
    <w:bookmarkEnd w:id="26"/>
    <w:bookmarkEnd w:id="27"/>
    <w:bookmarkStart w:id="28" w:name="temporal-dynamics"/>
    <w:p>
      <w:pPr>
        <w:pStyle w:val="Heading2"/>
      </w:pPr>
      <w:r>
        <w:t xml:space="preserve">Temporal Dynamics</w:t>
      </w:r>
    </w:p>
    <w:p>
      <w:pPr>
        <w:pStyle w:val="FirstParagraph"/>
      </w:pPr>
      <w:r>
        <w:t xml:space="preserve">We identify three adoption phases:</w:t>
      </w:r>
    </w:p>
    <w:p>
      <w:pPr>
        <w:numPr>
          <w:ilvl w:val="0"/>
          <w:numId w:val="1003"/>
        </w:numPr>
      </w:pPr>
      <w:r>
        <w:rPr>
          <w:b/>
          <w:bCs/>
        </w:rPr>
        <w:t xml:space="preserve">Pre-campaign baseline</w:t>
      </w:r>
      <w:r>
        <w:t xml:space="preserve"> </w:t>
      </w:r>
      <w:r>
        <w:t xml:space="preserve">(2010–2018): Gradual organic drift,</w:t>
      </w:r>
      <w:r>
        <w:t xml:space="preserve"> </w:t>
      </w:r>
      <m:oMath>
        <m:r>
          <m:rPr>
            <m:sty m:val="p"/>
          </m:rPr>
          <m:t>&lt;</m:t>
        </m:r>
      </m:oMath>
      <w:r>
        <w:t xml:space="preserve">1%/year.</w:t>
      </w:r>
    </w:p>
    <w:p>
      <w:pPr>
        <w:numPr>
          <w:ilvl w:val="0"/>
          <w:numId w:val="1003"/>
        </w:numPr>
      </w:pPr>
      <w:r>
        <w:rPr>
          <w:b/>
          <w:bCs/>
        </w:rPr>
        <w:t xml:space="preserve">Campaign effect</w:t>
      </w:r>
      <w:r>
        <w:t xml:space="preserve"> </w:t>
      </w:r>
      <w:r>
        <w:t xml:space="preserve">(2018–2022): Accelerated adoption following AP, BBC, Wikipedia switches. Social media communities adopt 5–9</w:t>
      </w:r>
      <m:oMath>
        <m:r>
          <m:rPr>
            <m:sty m:val="p"/>
          </m:rPr>
          <m:t>×</m:t>
        </m:r>
      </m:oMath>
      <w:r>
        <w:t xml:space="preserve"> </w:t>
      </w:r>
      <w:r>
        <w:t xml:space="preserve">faster than traditional media.</w:t>
      </w:r>
    </w:p>
    <w:p>
      <w:pPr>
        <w:numPr>
          <w:ilvl w:val="0"/>
          <w:numId w:val="1003"/>
        </w:numPr>
      </w:pPr>
      <w:r>
        <w:rPr>
          <w:b/>
          <w:bCs/>
        </w:rPr>
        <w:t xml:space="preserve">Invasion surge</w:t>
      </w:r>
      <w:r>
        <w:t xml:space="preserve"> </w:t>
      </w:r>
      <w:r>
        <w:t xml:space="preserve">(2022–present): Sharp increase across all sources (</w:t>
      </w:r>
      <m:oMath>
        <m:sSub>
          <m:e>
            <m:r>
              <m:t>β</m:t>
            </m:r>
          </m:e>
          <m:sub>
            <m:r>
              <m:rPr>
                <m:nor/>
                <m:sty m:val="p"/>
              </m:rPr>
              <m:t>invasion</m:t>
            </m:r>
          </m:sub>
        </m:sSub>
        <m:r>
          <m:rPr>
            <m:sty m:val="p"/>
          </m:rPr>
          <m:t>=</m:t>
        </m:r>
        <m:r>
          <m:t>0.87</m:t>
        </m:r>
      </m:oMath>
      <w:r>
        <w:t xml:space="preserve"> </w:t>
      </w:r>
      <w:r>
        <w:t xml:space="preserve">in regression, see §</w:t>
      </w:r>
      <w:hyperlink w:anchor="sec:regression">
        <w:r>
          <w:rPr>
            <w:rStyle w:val="Hyperlink"/>
          </w:rPr>
          <w:t xml:space="preserve">4.4</w:t>
        </w:r>
      </w:hyperlink>
      <w:r>
        <w:t xml:space="preserve">).</w:t>
      </w:r>
    </w:p>
    <w:bookmarkEnd w:id="28"/>
    <w:bookmarkStart w:id="29" w:name="category-hierarchy"/>
    <w:p>
      <w:pPr>
        <w:pStyle w:val="Heading2"/>
      </w:pPr>
      <w:r>
        <w:t xml:space="preserve">Category Hierarchy</w:t>
      </w:r>
    </w:p>
    <w:p>
      <w:pPr>
        <w:pStyle w:val="FirstParagraph"/>
      </w:pPr>
      <w:r>
        <w:t xml:space="preserve">Kruskal-Wallis test across 8 categories yields</w:t>
      </w:r>
      <w:r>
        <w:t xml:space="preserve"> </w:t>
      </w:r>
      <m:oMath>
        <m:r>
          <m:t>H</m:t>
        </m:r>
        <m:r>
          <m:rPr>
            <m:sty m:val="p"/>
          </m:rPr>
          <m:t>=</m:t>
        </m:r>
        <m:r>
          <m:t>13.54</m:t>
        </m:r>
      </m:oMath>
      <w:r>
        <w:t xml:space="preserve">,</w:t>
      </w:r>
      <w:r>
        <w:t xml:space="preserve"> </w:t>
      </w:r>
      <m:oMath>
        <m:r>
          <m:t>p</m:t>
        </m:r>
        <m:r>
          <m:rPr>
            <m:sty m:val="p"/>
          </m:rPr>
          <m:t>=</m:t>
        </m:r>
        <m:r>
          <m:t>0.035</m:t>
        </m:r>
      </m:oMath>
      <w:r>
        <w:t xml:space="preserve">, confirming significant inter-category differences. The hierarchy from highest to lowest adoption:</w:t>
      </w:r>
    </w:p>
    <w:p>
      <w:pPr>
        <w:pStyle w:val="BodyText"/>
      </w:pPr>
      <w:r>
        <w:t xml:space="preserve">Country (72%)</w:t>
      </w:r>
      <w:r>
        <w:t xml:space="preserve"> </w:t>
      </w:r>
      <m:oMath>
        <m:r>
          <m:rPr>
            <m:sty m:val="p"/>
          </m:rPr>
          <m:t>&gt;</m:t>
        </m:r>
      </m:oMath>
      <w:r>
        <w:t xml:space="preserve"> </w:t>
      </w:r>
      <w:r>
        <w:t xml:space="preserve">Sports (61%)</w:t>
      </w:r>
      <w:r>
        <w:t xml:space="preserve"> </w:t>
      </w:r>
      <m:oMath>
        <m:r>
          <m:rPr>
            <m:sty m:val="p"/>
          </m:rPr>
          <m:t>&gt;</m:t>
        </m:r>
      </m:oMath>
      <w:r>
        <w:t xml:space="preserve"> </w:t>
      </w:r>
      <w:r>
        <w:t xml:space="preserve">Geographical (54%)</w:t>
      </w:r>
      <w:r>
        <w:t xml:space="preserve"> </w:t>
      </w:r>
      <m:oMath>
        <m:r>
          <m:rPr>
            <m:sty m:val="p"/>
          </m:rPr>
          <m:t>&gt;</m:t>
        </m:r>
      </m:oMath>
      <w:r>
        <w:t xml:space="preserve"> </w:t>
      </w:r>
      <w:r>
        <w:t xml:space="preserve">People (50%)</w:t>
      </w:r>
      <w:r>
        <w:t xml:space="preserve"> </w:t>
      </w:r>
      <m:oMath>
        <m:r>
          <m:rPr>
            <m:sty m:val="p"/>
          </m:rPr>
          <m:t>&gt;</m:t>
        </m:r>
      </m:oMath>
      <w:r>
        <w:t xml:space="preserve"> </w:t>
      </w:r>
      <w:r>
        <w:t xml:space="preserve">Landmarks (44%)</w:t>
      </w:r>
      <w:r>
        <w:t xml:space="preserve"> </w:t>
      </w:r>
      <m:oMath>
        <m:r>
          <m:rPr>
            <m:sty m:val="p"/>
          </m:rPr>
          <m:t>&gt;</m:t>
        </m:r>
      </m:oMath>
      <w:r>
        <w:t xml:space="preserve"> </w:t>
      </w:r>
      <w:r>
        <w:t xml:space="preserve">Food (38%)</w:t>
      </w:r>
      <w:r>
        <w:t xml:space="preserve"> </w:t>
      </w:r>
      <m:oMath>
        <m:r>
          <m:rPr>
            <m:sty m:val="p"/>
          </m:rPr>
          <m:t>&gt;</m:t>
        </m:r>
      </m:oMath>
      <w:r>
        <w:t xml:space="preserve"> </w:t>
      </w:r>
      <w:r>
        <w:t xml:space="preserve">Institutional (36%)</w:t>
      </w:r>
      <w:r>
        <w:t xml:space="preserve"> </w:t>
      </w:r>
      <m:oMath>
        <m:r>
          <m:rPr>
            <m:sty m:val="p"/>
          </m:rPr>
          <m:t>&gt;</m:t>
        </m:r>
      </m:oMath>
      <w:r>
        <w:t xml:space="preserve"> </w:t>
      </w:r>
      <w:r>
        <w:t xml:space="preserve">Historical (12%)</w:t>
      </w:r>
    </w:p>
    <w:bookmarkEnd w:id="29"/>
    <w:bookmarkStart w:id="30" w:name="sec:regression"/>
    <w:p>
      <w:pPr>
        <w:pStyle w:val="Heading2"/>
      </w:pPr>
      <w:r>
        <w:t xml:space="preserve">Regression Model</w:t>
      </w:r>
    </w:p>
    <w:p>
      <w:pPr>
        <w:pStyle w:val="FirstParagraph"/>
      </w:pPr>
      <w:r>
        <w:t xml:space="preserve">An OLS regression on per-pair adoption yields</w:t>
      </w:r>
      <w:r>
        <w:t xml:space="preserve"> </w:t>
      </w:r>
      <m:oMath>
        <m:sSup>
          <m:e>
            <m:r>
              <m:t>R</m:t>
            </m:r>
          </m:e>
          <m:sup>
            <m:r>
              <m:t>2</m:t>
            </m:r>
          </m:sup>
        </m:sSup>
        <m:r>
          <m:rPr>
            <m:sty m:val="p"/>
          </m:rPr>
          <m:t>=</m:t>
        </m:r>
        <m:r>
          <m:t>0.87</m:t>
        </m:r>
      </m:oMath>
      <w:r>
        <w:t xml:space="preserve">:</w:t>
      </w:r>
    </w:p>
    <w:p>
      <w:pPr>
        <w:pStyle w:val="BodyText"/>
      </w:pPr>
      <m:oMathPara>
        <m:oMathParaPr>
          <m:jc m:val="center"/>
        </m:oMathParaPr>
        <m:oMath>
          <m:acc>
            <m:accPr>
              <m:chr m:val="̂"/>
            </m:accPr>
            <m:e>
              <m:r>
                <m:t>y</m:t>
              </m:r>
            </m:e>
          </m:acc>
          <m:r>
            <m:rPr>
              <m:sty m:val="p"/>
            </m:rPr>
            <m:t>=</m:t>
          </m:r>
          <m:sSub>
            <m:e>
              <m:r>
                <m:t>β</m:t>
              </m:r>
            </m:e>
            <m:sub>
              <m:r>
                <m:t>0</m:t>
              </m:r>
            </m:sub>
          </m:sSub>
          <m:r>
            <m:rPr>
              <m:sty m:val="p"/>
            </m:rPr>
            <m:t>+</m:t>
          </m:r>
          <m:sSub>
            <m:e>
              <m:r>
                <m:t>β</m:t>
              </m:r>
            </m:e>
            <m:sub>
              <m:r>
                <m:t>1</m:t>
              </m:r>
            </m:sub>
          </m:sSub>
          <m:r>
            <m:rPr>
              <m:sty m:val="p"/>
            </m:rPr>
            <m:t>⋅</m:t>
          </m:r>
          <m:r>
            <m:rPr>
              <m:nor/>
              <m:sty m:val="p"/>
            </m:rPr>
            <m:t>PreBaseline</m:t>
          </m:r>
          <m:r>
            <m:rPr>
              <m:sty m:val="p"/>
            </m:rPr>
            <m:t>+</m:t>
          </m:r>
          <m:sSub>
            <m:e>
              <m:r>
                <m:t>β</m:t>
              </m:r>
            </m:e>
            <m:sub>
              <m:r>
                <m:t>2</m:t>
              </m:r>
            </m:sub>
          </m:sSub>
          <m:r>
            <m:rPr>
              <m:sty m:val="p"/>
            </m:rPr>
            <m:t>⋅</m:t>
          </m:r>
          <m:r>
            <m:rPr>
              <m:nor/>
              <m:sty m:val="p"/>
            </m:rPr>
            <m:t>InvasionBump</m:t>
          </m:r>
          <m:r>
            <m:rPr>
              <m:sty m:val="p"/>
            </m:rPr>
            <m:t>+</m:t>
          </m:r>
          <m:sSub>
            <m:e>
              <m:r>
                <m:t>β</m:t>
              </m:r>
            </m:e>
            <m:sub>
              <m:r>
                <m:t>3</m:t>
              </m:r>
            </m:sub>
          </m:sSub>
          <m:r>
            <m:rPr>
              <m:sty m:val="p"/>
            </m:rPr>
            <m:t>⋅</m:t>
          </m:r>
          <m:r>
            <m:rPr>
              <m:nor/>
              <m:sty m:val="p"/>
            </m:rPr>
            <m:t>Category</m:t>
          </m:r>
          <m:r>
            <m:rPr>
              <m:sty m:val="p"/>
            </m:rPr>
            <m:t>+</m:t>
          </m:r>
          <m:r>
            <m:t>ϵ</m:t>
          </m:r>
        </m:oMath>
      </m:oMathPara>
    </w:p>
    <w:p>
      <w:pPr>
        <w:pStyle w:val="FirstParagraph"/>
      </w:pPr>
      <w:r>
        <w:t xml:space="preserve">The invasion bump (</w:t>
      </w:r>
      <m:oMath>
        <m:sSub>
          <m:e>
            <m:r>
              <m:t>β</m:t>
            </m:r>
          </m:e>
          <m:sub>
            <m:r>
              <m:t>2</m:t>
            </m:r>
          </m:sub>
        </m:sSub>
        <m:r>
          <m:rPr>
            <m:sty m:val="p"/>
          </m:rPr>
          <m:t>=</m:t>
        </m:r>
        <m:r>
          <m:t>0.87</m:t>
        </m:r>
      </m:oMath>
      <w:r>
        <w:t xml:space="preserve">) is the dominant predictor, replacing the pre-2022 baseline as the primary driver. This suggests the invasion, not the campaign itself, was the catalyst for widespread adoption.</w:t>
      </w:r>
    </w:p>
    <w:bookmarkEnd w:id="30"/>
    <w:bookmarkEnd w:id="31"/>
    <w:bookmarkStart w:id="33" w:name="sec:stats"/>
    <w:p>
      <w:pPr>
        <w:pStyle w:val="Heading1"/>
      </w:pPr>
      <w:r>
        <w:t xml:space="preserve">Statistical Validation</w:t>
      </w:r>
    </w:p>
    <w:p>
      <w:pPr>
        <w:pStyle w:val="FirstParagraph"/>
      </w:pPr>
      <w:r>
        <w:t xml:space="preserve">We validate patterns using multiple non-parametric tests:</w:t>
      </w:r>
    </w:p>
    <w:bookmarkStart w:id="32" w:name="tab:stats"/>
    <w:p>
      <w:pPr>
        <w:pStyle w:val="TableCaption"/>
      </w:pPr>
      <w:r>
        <w:t xml:space="preserve">Statistical validation results.</w:t>
      </w:r>
    </w:p>
    <w:tbl>
      <w:tblPr>
        <w:tblStyle w:val="Table"/>
        <w:tblW w:type="auto" w:w="0"/>
        <w:tblLook w:firstRow="1" w:lastRow="0" w:firstColumn="0" w:lastColumn="0" w:noHBand="0" w:noVBand="0" w:val="0020"/>
        <w:tblCaption w:val="Statistical validation results."/>
      </w:tblPr>
      <w:tblGrid>
        <w:gridCol w:w="1980"/>
        <w:gridCol w:w="1980"/>
        <w:gridCol w:w="1980"/>
        <w:gridCol w:w="1980"/>
      </w:tblGrid>
      <w:tr>
        <w:trPr>
          <w:tblHeader w:val="on"/>
        </w:trPr>
        <w:tc>
          <w:tcPr/>
          <w:p>
            <w:pPr>
              <w:pStyle w:val="Compact"/>
              <w:jc w:val="left"/>
            </w:pPr>
            <w:r>
              <w:rPr>
                <w:b/>
                <w:bCs/>
              </w:rPr>
              <w:t xml:space="preserve">Test</w:t>
            </w:r>
          </w:p>
        </w:tc>
        <w:tc>
          <w:tcPr/>
          <w:p>
            <w:pPr>
              <w:pStyle w:val="Compact"/>
              <w:jc w:val="left"/>
            </w:pPr>
            <w:r>
              <w:rPr>
                <w:b/>
                <w:bCs/>
              </w:rPr>
              <w:t xml:space="preserve">Hypothesis</w:t>
            </w:r>
          </w:p>
        </w:tc>
        <w:tc>
          <w:tcPr/>
          <w:p>
            <w:pPr>
              <w:pStyle w:val="Compact"/>
              <w:jc w:val="right"/>
            </w:pPr>
            <w:r>
              <w:rPr>
                <w:b/>
                <w:bCs/>
              </w:rPr>
              <w:t xml:space="preserve">Statistic</w:t>
            </w:r>
          </w:p>
        </w:tc>
        <w:tc>
          <w:tcPr/>
          <w:p>
            <w:pPr>
              <w:pStyle w:val="Compact"/>
              <w:jc w:val="left"/>
            </w:pPr>
            <m:oMath>
              <m:r>
                <m:t>p</m:t>
              </m:r>
            </m:oMath>
            <w:r>
              <w:rPr>
                <w:b/>
                <w:bCs/>
              </w:rPr>
              <w:t xml:space="preserve">-value</w:t>
            </w:r>
          </w:p>
        </w:tc>
      </w:tr>
      <w:tr>
        <w:tc>
          <w:tcPr/>
          <w:p>
            <w:pPr>
              <w:pStyle w:val="Compact"/>
              <w:jc w:val="left"/>
            </w:pPr>
            <w:r>
              <w:t xml:space="preserve">Wilcoxon signed-rank</w:t>
            </w:r>
          </w:p>
        </w:tc>
        <w:tc>
          <w:tcPr/>
          <w:p>
            <w:pPr>
              <w:pStyle w:val="Compact"/>
              <w:jc w:val="left"/>
            </w:pPr>
            <w:r>
              <w:t xml:space="preserve">Pre vs post-2022 shift</w:t>
            </w:r>
          </w:p>
        </w:tc>
        <w:tc>
          <w:tcPr/>
          <w:p>
            <w:pPr>
              <w:pStyle w:val="Compact"/>
              <w:jc w:val="right"/>
            </w:pPr>
            <m:oMath>
              <m:r>
                <m:t>W</m:t>
              </m:r>
            </m:oMath>
          </w:p>
        </w:tc>
        <w:tc>
          <w:tcPr/>
          <w:p>
            <w:pPr>
              <w:pStyle w:val="Compact"/>
              <w:jc w:val="left"/>
            </w:pPr>
            <m:oMath>
              <m:r>
                <m:rPr>
                  <m:sty m:val="p"/>
                </m:rPr>
                <m:t>&lt;</m:t>
              </m:r>
            </m:oMath>
            <w:r>
              <w:t xml:space="preserve">0.001</w:t>
            </w:r>
          </w:p>
        </w:tc>
      </w:tr>
      <w:tr>
        <w:tc>
          <w:tcPr/>
          <w:p>
            <w:pPr>
              <w:pStyle w:val="Compact"/>
              <w:jc w:val="left"/>
            </w:pPr>
            <w:r>
              <w:t xml:space="preserve">Kruskal-Wallis</w:t>
            </w:r>
          </w:p>
        </w:tc>
        <w:tc>
          <w:tcPr/>
          <w:p>
            <w:pPr>
              <w:pStyle w:val="Compact"/>
              <w:jc w:val="left"/>
            </w:pPr>
            <w:r>
              <w:t xml:space="preserve">Category differences</w:t>
            </w:r>
          </w:p>
        </w:tc>
        <w:tc>
          <w:tcPr/>
          <w:p>
            <w:pPr>
              <w:pStyle w:val="Compact"/>
              <w:jc w:val="right"/>
            </w:pPr>
            <m:oMath>
              <m:r>
                <m:t>H</m:t>
              </m:r>
              <m:r>
                <m:rPr>
                  <m:sty m:val="p"/>
                </m:rPr>
                <m:t>=</m:t>
              </m:r>
              <m:r>
                <m:t>13.54</m:t>
              </m:r>
            </m:oMath>
          </w:p>
        </w:tc>
        <w:tc>
          <w:tcPr/>
          <w:p>
            <w:pPr>
              <w:pStyle w:val="Compact"/>
              <w:jc w:val="left"/>
            </w:pPr>
            <w:r>
              <w:t xml:space="preserve">0.035</w:t>
            </w:r>
          </w:p>
        </w:tc>
      </w:tr>
      <w:tr>
        <w:tc>
          <w:tcPr/>
          <w:p>
            <w:pPr>
              <w:pStyle w:val="Compact"/>
              <w:jc w:val="left"/>
            </w:pPr>
            <w:r>
              <w:t xml:space="preserve">Spearman</w:t>
            </w:r>
            <w:r>
              <w:t xml:space="preserve"> </w:t>
            </w:r>
            <m:oMath>
              <m:r>
                <m:t>ρ</m:t>
              </m:r>
            </m:oMath>
          </w:p>
        </w:tc>
        <w:tc>
          <w:tcPr/>
          <w:p>
            <w:pPr>
              <w:pStyle w:val="Compact"/>
              <w:jc w:val="left"/>
            </w:pPr>
            <w:r>
              <w:t xml:space="preserve">Cross-source correlation</w:t>
            </w:r>
          </w:p>
        </w:tc>
        <w:tc>
          <w:tcPr/>
          <w:p>
            <w:pPr>
              <w:pStyle w:val="Compact"/>
              <w:jc w:val="right"/>
            </w:pPr>
            <m:oMath>
              <m:r>
                <m:t>ρ</m:t>
              </m:r>
              <m:r>
                <m:rPr>
                  <m:sty m:val="p"/>
                </m:rPr>
                <m:t>=</m:t>
              </m:r>
              <m:r>
                <m:t>0.71</m:t>
              </m:r>
            </m:oMath>
          </w:p>
        </w:tc>
        <w:tc>
          <w:tcPr/>
          <w:p>
            <w:pPr>
              <w:pStyle w:val="Compact"/>
              <w:jc w:val="left"/>
            </w:pPr>
            <m:oMath>
              <m:r>
                <m:rPr>
                  <m:sty m:val="p"/>
                </m:rPr>
                <m:t>&lt;</m:t>
              </m:r>
            </m:oMath>
            <w:r>
              <w:t xml:space="preserve">0.001</w:t>
            </w:r>
          </w:p>
        </w:tc>
      </w:tr>
      <w:tr>
        <w:tc>
          <w:tcPr/>
          <w:p>
            <w:pPr>
              <w:pStyle w:val="Compact"/>
              <w:jc w:val="left"/>
            </w:pPr>
            <w:r>
              <w:t xml:space="preserve">OLS Regression</w:t>
            </w:r>
          </w:p>
        </w:tc>
        <w:tc>
          <w:tcPr/>
          <w:p>
            <w:pPr>
              <w:pStyle w:val="Compact"/>
              <w:jc w:val="left"/>
            </w:pPr>
            <w:r>
              <w:t xml:space="preserve">Adoption predictors</w:t>
            </w:r>
          </w:p>
        </w:tc>
        <w:tc>
          <w:tcPr/>
          <w:p>
            <w:pPr>
              <w:pStyle w:val="Compact"/>
              <w:jc w:val="right"/>
            </w:pPr>
            <m:oMath>
              <m:sSup>
                <m:e>
                  <m:r>
                    <m:t>R</m:t>
                  </m:r>
                </m:e>
                <m:sup>
                  <m:r>
                    <m:t>2</m:t>
                  </m:r>
                </m:sup>
              </m:sSup>
              <m:r>
                <m:rPr>
                  <m:sty m:val="p"/>
                </m:rPr>
                <m:t>=</m:t>
              </m:r>
              <m:r>
                <m:t>0.87</m:t>
              </m:r>
            </m:oMath>
          </w:p>
        </w:tc>
        <w:tc>
          <w:tcPr/>
          <w:p>
            <w:pPr>
              <w:pStyle w:val="Compact"/>
              <w:jc w:val="left"/>
            </w:pPr>
            <m:oMath>
              <m:r>
                <m:rPr>
                  <m:sty m:val="p"/>
                </m:rPr>
                <m:t>&lt;</m:t>
              </m:r>
            </m:oMath>
            <w:r>
              <w:t xml:space="preserve">0.001</w:t>
            </w:r>
          </w:p>
        </w:tc>
      </w:tr>
    </w:tbl>
    <w:bookmarkEnd w:id="32"/>
    <w:p>
      <w:pPr>
        <w:pStyle w:val="BodyText"/>
      </w:pPr>
      <w:r>
        <w:t xml:space="preserve">Wilson score confidence intervals (95%) are computed for each pair’s adoption rate. Leave-one-out sensitivity analysis confirms no single source drives the aggregate results.</w:t>
      </w:r>
    </w:p>
    <w:bookmarkEnd w:id="33"/>
    <w:bookmarkStart w:id="41" w:name="sec:cl"/>
    <w:p>
      <w:pPr>
        <w:pStyle w:val="Heading1"/>
      </w:pPr>
      <w:r>
        <w:t xml:space="preserve">Computational Linguistic Analysis</w:t>
      </w:r>
    </w:p>
    <w:bookmarkStart w:id="35" w:name="corpus-construction"/>
    <w:p>
      <w:pPr>
        <w:pStyle w:val="Heading2"/>
      </w:pPr>
      <w:r>
        <w:t xml:space="preserve">Corpus Construction</w:t>
      </w:r>
    </w:p>
    <w:p>
      <w:pPr>
        <w:pStyle w:val="FirstParagraph"/>
      </w:pPr>
      <w:r>
        <w:t xml:space="preserve">We extract texts from 4 sources containing toponym variants (Table </w:t>
      </w:r>
      <w:hyperlink w:anchor="tab:cl-corpus">
        <w:r>
          <w:rPr>
            <w:rStyle w:val="Hyperlink"/>
          </w:rPr>
          <w:t xml:space="preserve">4</w:t>
        </w:r>
      </w:hyperlink>
      <w:r>
        <w:t xml:space="preserve">).</w:t>
      </w:r>
    </w:p>
    <w:bookmarkStart w:id="34" w:name="tab:cl-corpus"/>
    <w:p>
      <w:pPr>
        <w:pStyle w:val="TableCaption"/>
      </w:pPr>
      <w:r>
        <w:t xml:space="preserve">CL corpus composition.</w:t>
      </w:r>
    </w:p>
    <w:tbl>
      <w:tblPr>
        <w:tblStyle w:val="Table"/>
        <w:tblW w:type="auto" w:w="0"/>
        <w:tblLook w:firstRow="1" w:lastRow="0" w:firstColumn="0" w:lastColumn="0" w:noHBand="0" w:noVBand="0" w:val="0020"/>
        <w:tblCaption w:val="CL corpus composition."/>
      </w:tblPr>
      <w:tblGrid>
        <w:gridCol w:w="1980"/>
        <w:gridCol w:w="1980"/>
        <w:gridCol w:w="1980"/>
        <w:gridCol w:w="1980"/>
      </w:tblGrid>
      <w:tr>
        <w:trPr>
          <w:tblHeader w:val="on"/>
        </w:trPr>
        <w:tc>
          <w:tcPr/>
          <w:p>
            <w:pPr>
              <w:pStyle w:val="Compact"/>
              <w:jc w:val="left"/>
            </w:pPr>
            <w:r>
              <w:rPr>
                <w:b/>
                <w:bCs/>
              </w:rPr>
              <w:t xml:space="preserve">Source</w:t>
            </w:r>
          </w:p>
        </w:tc>
        <w:tc>
          <w:tcPr/>
          <w:p>
            <w:pPr>
              <w:pStyle w:val="Compact"/>
              <w:jc w:val="right"/>
            </w:pPr>
            <w:r>
              <w:rPr>
                <w:b/>
                <w:bCs/>
              </w:rPr>
              <w:t xml:space="preserve">Texts</w:t>
            </w:r>
          </w:p>
        </w:tc>
        <w:tc>
          <w:tcPr/>
          <w:p>
            <w:pPr>
              <w:pStyle w:val="Compact"/>
              <w:jc w:val="right"/>
            </w:pPr>
            <w:r>
              <w:rPr>
                <w:b/>
                <w:bCs/>
              </w:rPr>
              <w:t xml:space="preserve">Mean words</w:t>
            </w:r>
          </w:p>
        </w:tc>
        <w:tc>
          <w:tcPr/>
          <w:p>
            <w:pPr>
              <w:pStyle w:val="Compact"/>
              <w:jc w:val="left"/>
            </w:pPr>
            <w:r>
              <w:rPr>
                <w:b/>
                <w:bCs/>
              </w:rPr>
              <w:t xml:space="preserve">Content</w:t>
            </w:r>
          </w:p>
        </w:tc>
      </w:tr>
      <w:tr>
        <w:tc>
          <w:tcPr/>
          <w:p>
            <w:pPr>
              <w:pStyle w:val="Compact"/>
              <w:jc w:val="left"/>
            </w:pPr>
            <w:r>
              <w:t xml:space="preserve">Reddit</w:t>
            </w:r>
          </w:p>
        </w:tc>
        <w:tc>
          <w:tcPr/>
          <w:p>
            <w:pPr>
              <w:pStyle w:val="Compact"/>
              <w:jc w:val="right"/>
            </w:pPr>
            <w:r>
              <w:t xml:space="preserve">11,886</w:t>
            </w:r>
          </w:p>
        </w:tc>
        <w:tc>
          <w:tcPr/>
          <w:p>
            <w:pPr>
              <w:pStyle w:val="Compact"/>
              <w:jc w:val="right"/>
            </w:pPr>
            <w:r>
              <w:t xml:space="preserve">38</w:t>
            </w:r>
          </w:p>
        </w:tc>
        <w:tc>
          <w:tcPr/>
          <w:p>
            <w:pPr>
              <w:pStyle w:val="Compact"/>
              <w:jc w:val="left"/>
            </w:pPr>
            <w:r>
              <w:t xml:space="preserve">Titles + bodies</w:t>
            </w:r>
          </w:p>
        </w:tc>
      </w:tr>
      <w:tr>
        <w:tc>
          <w:tcPr/>
          <w:p>
            <w:pPr>
              <w:pStyle w:val="Compact"/>
              <w:jc w:val="left"/>
            </w:pPr>
            <w:r>
              <w:t xml:space="preserve">OpenAlex</w:t>
            </w:r>
          </w:p>
        </w:tc>
        <w:tc>
          <w:tcPr/>
          <w:p>
            <w:pPr>
              <w:pStyle w:val="Compact"/>
              <w:jc w:val="right"/>
            </w:pPr>
            <w:r>
              <w:t xml:space="preserve">10,687</w:t>
            </w:r>
          </w:p>
        </w:tc>
        <w:tc>
          <w:tcPr/>
          <w:p>
            <w:pPr>
              <w:pStyle w:val="Compact"/>
              <w:jc w:val="right"/>
            </w:pPr>
            <w:r>
              <w:t xml:space="preserve">156</w:t>
            </w:r>
          </w:p>
        </w:tc>
        <w:tc>
          <w:tcPr/>
          <w:p>
            <w:pPr>
              <w:pStyle w:val="Compact"/>
              <w:jc w:val="left"/>
            </w:pPr>
            <w:r>
              <w:t xml:space="preserve">Titles + abstracts</w:t>
            </w:r>
          </w:p>
        </w:tc>
      </w:tr>
      <w:tr>
        <w:tc>
          <w:tcPr/>
          <w:p>
            <w:pPr>
              <w:pStyle w:val="Compact"/>
              <w:jc w:val="left"/>
            </w:pPr>
            <w:r>
              <w:t xml:space="preserve">YouTube</w:t>
            </w:r>
          </w:p>
        </w:tc>
        <w:tc>
          <w:tcPr/>
          <w:p>
            <w:pPr>
              <w:pStyle w:val="Compact"/>
              <w:jc w:val="right"/>
            </w:pPr>
            <w:r>
              <w:t xml:space="preserve">6,835</w:t>
            </w:r>
          </w:p>
        </w:tc>
        <w:tc>
          <w:tcPr/>
          <w:p>
            <w:pPr>
              <w:pStyle w:val="Compact"/>
              <w:jc w:val="right"/>
            </w:pPr>
            <w:r>
              <w:t xml:space="preserve">24</w:t>
            </w:r>
          </w:p>
        </w:tc>
        <w:tc>
          <w:tcPr/>
          <w:p>
            <w:pPr>
              <w:pStyle w:val="Compact"/>
              <w:jc w:val="left"/>
            </w:pPr>
            <w:r>
              <w:t xml:space="preserve">Titles + descriptions</w:t>
            </w:r>
          </w:p>
        </w:tc>
      </w:tr>
      <w:tr>
        <w:tc>
          <w:tcPr/>
          <w:p>
            <w:pPr>
              <w:pStyle w:val="Compact"/>
              <w:jc w:val="left"/>
            </w:pPr>
            <w:r>
              <w:t xml:space="preserve">GDELT</w:t>
            </w:r>
          </w:p>
        </w:tc>
        <w:tc>
          <w:tcPr/>
          <w:p>
            <w:pPr>
              <w:pStyle w:val="Compact"/>
              <w:jc w:val="right"/>
            </w:pPr>
            <w:r>
              <w:t xml:space="preserve">6,237</w:t>
            </w:r>
          </w:p>
        </w:tc>
        <w:tc>
          <w:tcPr/>
          <w:p>
            <w:pPr>
              <w:pStyle w:val="Compact"/>
              <w:jc w:val="right"/>
            </w:pPr>
            <w:r>
              <w:t xml:space="preserve">606</w:t>
            </w:r>
          </w:p>
        </w:tc>
        <w:tc>
          <w:tcPr/>
          <w:p>
            <w:pPr>
              <w:pStyle w:val="Compact"/>
              <w:jc w:val="left"/>
            </w:pPr>
            <w:r>
              <w:t xml:space="preserve">Article bodies</w:t>
            </w:r>
          </w:p>
        </w:tc>
      </w:tr>
      <w:tr>
        <w:tc>
          <w:tcPr>
            <w:gridSpan w:val="4"/>
          </w:tcPr>
          <w:p>
            <w:pPr>
              <w:pStyle w:val="Compact"/>
              <w:jc w:val="left"/>
            </w:pPr>
            <w:r>
              <w:rPr>
                <w:i/>
                <w:iCs/>
              </w:rPr>
              <w:t xml:space="preserve">After balancing:</w:t>
            </w:r>
            <w:r>
              <w:t xml:space="preserve"> </w:t>
            </w:r>
            <w:r>
              <w:t xml:space="preserve">29,938 texts (48% RU / 52% UA)</w:t>
            </w:r>
          </w:p>
        </w:tc>
      </w:tr>
    </w:tbl>
    <w:bookmarkEnd w:id="34"/>
    <w:p>
      <w:pPr>
        <w:pStyle w:val="BodyText"/>
      </w:pPr>
      <w:r>
        <w:t xml:space="preserve">Balancing uses stratified sampling across pair</w:t>
      </w:r>
      <w:r>
        <w:t xml:space="preserve"> </w:t>
      </w:r>
      <m:oMath>
        <m:r>
          <m:rPr>
            <m:sty m:val="p"/>
          </m:rPr>
          <m:t>×</m:t>
        </m:r>
      </m:oMath>
      <w:r>
        <w:t xml:space="preserve"> </w:t>
      </w:r>
      <w:r>
        <w:t xml:space="preserve">source</w:t>
      </w:r>
      <w:r>
        <w:t xml:space="preserve"> </w:t>
      </w:r>
      <m:oMath>
        <m:r>
          <m:rPr>
            <m:sty m:val="p"/>
          </m:rPr>
          <m:t>×</m:t>
        </m:r>
      </m:oMath>
      <w:r>
        <w:t xml:space="preserve"> </w:t>
      </w:r>
      <w:r>
        <w:t xml:space="preserve">variant</w:t>
      </w:r>
      <w:r>
        <w:t xml:space="preserve"> </w:t>
      </w:r>
      <m:oMath>
        <m:r>
          <m:rPr>
            <m:sty m:val="p"/>
          </m:rPr>
          <m:t>×</m:t>
        </m:r>
      </m:oMath>
      <w:r>
        <w:t xml:space="preserve"> </w:t>
      </w:r>
      <w:r>
        <w:t xml:space="preserve">year stratum. Texts under 10 words and within-pair duplicates are removed. The corpus contains 82% Latin script (primarily English), 17% Cyrillic (Ukrainian/Russian), and 2% mixed.</w:t>
      </w:r>
    </w:p>
    <w:bookmarkEnd w:id="35"/>
    <w:bookmarkStart w:id="37" w:name="llm-annotation"/>
    <w:p>
      <w:pPr>
        <w:pStyle w:val="Heading2"/>
      </w:pPr>
      <w:r>
        <w:t xml:space="preserve">LLM Annotation</w:t>
      </w:r>
    </w:p>
    <w:p>
      <w:pPr>
        <w:pStyle w:val="FirstParagraph"/>
      </w:pPr>
      <w:r>
        <w:t xml:space="preserve">All 29,938 texts are annotated using Llama 3.1 70B-Instruct (full BF16 precision, NVIDIA B200 183GB) with a structured prompt requesting:</w:t>
      </w:r>
    </w:p>
    <w:p>
      <w:pPr>
        <w:numPr>
          <w:ilvl w:val="0"/>
          <w:numId w:val="1004"/>
        </w:numPr>
      </w:pPr>
      <w:r>
        <w:rPr>
          <w:b/>
          <w:bCs/>
        </w:rPr>
        <w:t xml:space="preserve">Context category</w:t>
      </w:r>
      <w:r>
        <w:t xml:space="preserve"> </w:t>
      </w:r>
      <w:r>
        <w:t xml:space="preserve">(10 classes):</w:t>
      </w:r>
      <w:r>
        <w:t xml:space="preserve"> </w:t>
      </w:r>
      <w:r>
        <w:rPr>
          <w:i/>
          <w:iCs/>
        </w:rPr>
        <w:t xml:space="preserve">politics, war_conflict, sports, culture_arts, food_cuisine, travel_tourism, academic_science, history, general_news, business_economy</w:t>
      </w:r>
    </w:p>
    <w:p>
      <w:pPr>
        <w:numPr>
          <w:ilvl w:val="0"/>
          <w:numId w:val="1004"/>
        </w:numPr>
      </w:pPr>
      <w:r>
        <w:rPr>
          <w:b/>
          <w:bCs/>
        </w:rPr>
        <w:t xml:space="preserve">Sentiment</w:t>
      </w:r>
      <w:r>
        <w:t xml:space="preserve">: positive/neutral/negative with score</w:t>
      </w:r>
      <w:r>
        <w:t xml:space="preserve"> </w:t>
      </w:r>
      <m:oMath>
        <m:r>
          <m:rPr>
            <m:sty m:val="p"/>
          </m:rPr>
          <m:t>∈</m:t>
        </m:r>
        <m:r>
          <m:rPr>
            <m:sty m:val="p"/>
          </m:rPr>
          <m:t>[</m:t>
        </m:r>
        <m:r>
          <m:rPr>
            <m:sty m:val="p"/>
          </m:rPr>
          <m:t>−</m:t>
        </m:r>
        <m:r>
          <m:t>1</m:t>
        </m:r>
        <m:r>
          <m:rPr>
            <m:sty m:val="p"/>
          </m:rPr>
          <m:t>,</m:t>
        </m:r>
        <m:r>
          <m:t>1</m:t>
        </m:r>
        <m:r>
          <m:rPr>
            <m:sty m:val="p"/>
          </m:rPr>
          <m:t>]</m:t>
        </m:r>
      </m:oMath>
    </w:p>
    <w:p>
      <w:pPr>
        <w:numPr>
          <w:ilvl w:val="0"/>
          <w:numId w:val="1004"/>
        </w:numPr>
      </w:pPr>
      <w:r>
        <w:rPr>
          <w:b/>
          <w:bCs/>
        </w:rPr>
        <w:t xml:space="preserve">Brief reasoning</w:t>
      </w:r>
      <w:r>
        <w:t xml:space="preserve">:</w:t>
      </w:r>
      <w:r>
        <w:t xml:space="preserve"> </w:t>
      </w:r>
      <m:oMath>
        <m:r>
          <m:rPr>
            <m:sty m:val="p"/>
          </m:rPr>
          <m:t>≤</m:t>
        </m:r>
      </m:oMath>
      <w:r>
        <w:t xml:space="preserve">10 words</w:t>
      </w:r>
    </w:p>
    <w:p>
      <w:pPr>
        <w:pStyle w:val="FirstParagraph"/>
      </w:pPr>
      <w:r>
        <w:t xml:space="preserve">Results: 100% JSON parse rate, mean confidence 0.926. Annotation throughput: 10.8 texts/sec with 16 concurrent requests (</w:t>
      </w:r>
      <m:oMath>
        <m:r>
          <m:rPr>
            <m:sty m:val="p"/>
          </m:rPr>
          <m:t>∼</m:t>
        </m:r>
      </m:oMath>
      <w:r>
        <w:t xml:space="preserve">45 minutes total).</w:t>
      </w:r>
    </w:p>
    <w:bookmarkStart w:id="36" w:name="human-validation."/>
    <w:p>
      <w:pPr>
        <w:pStyle w:val="Heading4"/>
      </w:pPr>
      <w:r>
        <w:t xml:space="preserve">Human validation.</w:t>
      </w:r>
    </w:p>
    <w:p>
      <w:pPr>
        <w:pStyle w:val="FirstParagraph"/>
      </w:pPr>
      <w:r>
        <w:t xml:space="preserve">The first author manually reviewed 1,000 randomly sampled annotations (3.3% of corpus), finding</w:t>
      </w:r>
      <w:r>
        <w:t xml:space="preserve"> </w:t>
      </w:r>
      <m:oMath>
        <m:r>
          <m:rPr>
            <m:sty m:val="p"/>
          </m:rPr>
          <m:t>&gt;</m:t>
        </m:r>
      </m:oMath>
      <w:r>
        <w:t xml:space="preserve">98% agreement with LLM labels.</w:t>
      </w:r>
    </w:p>
    <w:bookmarkEnd w:id="36"/>
    <w:bookmarkEnd w:id="37"/>
    <w:bookmarkStart w:id="38" w:name="collocation-analysis"/>
    <w:p>
      <w:pPr>
        <w:pStyle w:val="Heading2"/>
      </w:pPr>
      <w:r>
        <w:t xml:space="preserve">Collocation Analysis</w:t>
      </w:r>
    </w:p>
    <w:p>
      <w:pPr>
        <w:pStyle w:val="FirstParagraph"/>
      </w:pPr>
      <w:r>
        <w:t xml:space="preserve">We extract significant collocates using Normalized Pointwise Mutual Information (NPMI):</w:t>
      </w:r>
    </w:p>
    <w:p>
      <w:pPr>
        <w:pStyle w:val="BodyText"/>
      </w:pPr>
      <m:oMathPara>
        <m:oMathParaPr>
          <m:jc m:val="center"/>
        </m:oMathParaPr>
        <m:oMath>
          <m:r>
            <m:rPr>
              <m:nor/>
              <m:sty m:val="p"/>
            </m:rPr>
            <m:t>NPMI</m:t>
          </m:r>
          <m:r>
            <m:rPr>
              <m:sty m:val="p"/>
            </m:rPr>
            <m:t>(</m:t>
          </m:r>
          <m:r>
            <m:t>w</m:t>
          </m:r>
          <m:r>
            <m:rPr>
              <m:sty m:val="p"/>
            </m:rPr>
            <m:t>,</m:t>
          </m:r>
          <m:r>
            <m:t>t</m:t>
          </m:r>
          <m:r>
            <m:rPr>
              <m:sty m:val="p"/>
            </m:rPr>
            <m:t>)</m:t>
          </m:r>
          <m:r>
            <m:rPr>
              <m:sty m:val="p"/>
            </m:rPr>
            <m:t>=</m:t>
          </m:r>
          <m:f>
            <m:fPr>
              <m:type m:val="bar"/>
            </m:fPr>
            <m:num>
              <m:sSub>
                <m:e>
                  <m:r>
                    <m:rPr>
                      <m:sty m:val="p"/>
                    </m:rPr>
                    <m:t>log</m:t>
                  </m:r>
                </m:e>
                <m:sub>
                  <m:r>
                    <m:t>2</m:t>
                  </m:r>
                </m:sub>
              </m:sSub>
              <m:f>
                <m:fPr>
                  <m:type m:val="bar"/>
                </m:fPr>
                <m:num>
                  <m:r>
                    <m:t>P</m:t>
                  </m:r>
                  <m:r>
                    <m:rPr>
                      <m:sty m:val="p"/>
                    </m:rPr>
                    <m:t>(</m:t>
                  </m:r>
                  <m:r>
                    <m:t>w</m:t>
                  </m:r>
                  <m:r>
                    <m:rPr>
                      <m:sty m:val="p"/>
                    </m:rPr>
                    <m:t>,</m:t>
                  </m:r>
                  <m:r>
                    <m:t>t</m:t>
                  </m:r>
                  <m:r>
                    <m:rPr>
                      <m:sty m:val="p"/>
                    </m:rPr>
                    <m:t>)</m:t>
                  </m:r>
                </m:num>
                <m:den>
                  <m:r>
                    <m:t>P</m:t>
                  </m:r>
                  <m:r>
                    <m:rPr>
                      <m:sty m:val="p"/>
                    </m:rPr>
                    <m:t>(</m:t>
                  </m:r>
                  <m:r>
                    <m:t>w</m:t>
                  </m:r>
                  <m:r>
                    <m:rPr>
                      <m:sty m:val="p"/>
                    </m:rPr>
                    <m:t>)</m:t>
                  </m:r>
                  <m:r>
                    <m:rPr>
                      <m:sty m:val="p"/>
                    </m:rPr>
                    <m:t>⋅</m:t>
                  </m:r>
                  <m:r>
                    <m:t>P</m:t>
                  </m:r>
                  <m:r>
                    <m:rPr>
                      <m:sty m:val="p"/>
                    </m:rPr>
                    <m:t>(</m:t>
                  </m:r>
                  <m:r>
                    <m:t>t</m:t>
                  </m:r>
                  <m:r>
                    <m:rPr>
                      <m:sty m:val="p"/>
                    </m:rPr>
                    <m:t>)</m:t>
                  </m:r>
                </m:den>
              </m:f>
            </m:num>
            <m:den>
              <m:r>
                <m:rPr>
                  <m:sty m:val="p"/>
                </m:rPr>
                <m:t>−</m:t>
              </m:r>
              <m:sSub>
                <m:e>
                  <m:r>
                    <m:rPr>
                      <m:sty m:val="p"/>
                    </m:rPr>
                    <m:t>log</m:t>
                  </m:r>
                </m:e>
                <m:sub>
                  <m:r>
                    <m:t>2</m:t>
                  </m:r>
                </m:sub>
              </m:sSub>
              <m:r>
                <m:t>P</m:t>
              </m:r>
              <m:r>
                <m:rPr>
                  <m:sty m:val="p"/>
                </m:rPr>
                <m:t>(</m:t>
              </m:r>
              <m:r>
                <m:t>w</m:t>
              </m:r>
              <m:r>
                <m:rPr>
                  <m:sty m:val="p"/>
                </m:rPr>
                <m:t>,</m:t>
              </m:r>
              <m:r>
                <m:t>t</m:t>
              </m:r>
              <m:r>
                <m:rPr>
                  <m:sty m:val="p"/>
                </m:rPr>
                <m:t>)</m:t>
              </m:r>
            </m:den>
          </m:f>
        </m:oMath>
      </m:oMathPara>
    </w:p>
    <w:p>
      <w:pPr>
        <w:pStyle w:val="FirstParagraph"/>
      </w:pPr>
      <w:r>
        <w:t xml:space="preserve">where</w:t>
      </w:r>
      <w:r>
        <w:t xml:space="preserve"> </w:t>
      </w:r>
      <m:oMath>
        <m:r>
          <m:t>t</m:t>
        </m:r>
      </m:oMath>
      <w:r>
        <w:t xml:space="preserve"> </w:t>
      </w:r>
      <w:r>
        <w:t xml:space="preserve">is the target toponym and</w:t>
      </w:r>
      <w:r>
        <w:t xml:space="preserve"> </w:t>
      </w:r>
      <m:oMath>
        <m:r>
          <m:t>w</m:t>
        </m:r>
      </m:oMath>
      <w:r>
        <w:t xml:space="preserve"> </w:t>
      </w:r>
      <w:r>
        <w:t xml:space="preserve">is a word within a 5-word window. NPMI normalizes to</w:t>
      </w:r>
      <w:r>
        <w:t xml:space="preserve"> </w:t>
      </w:r>
      <m:oMath>
        <m:r>
          <m:rPr>
            <m:sty m:val="p"/>
          </m:rPr>
          <m:t>[</m:t>
        </m:r>
        <m:r>
          <m:rPr>
            <m:sty m:val="p"/>
          </m:rPr>
          <m:t>−</m:t>
        </m:r>
        <m:r>
          <m:t>1</m:t>
        </m:r>
        <m:r>
          <m:rPr>
            <m:sty m:val="p"/>
          </m:rPr>
          <m:t>,</m:t>
        </m:r>
        <m:r>
          <m:t>1</m:t>
        </m:r>
        <m:r>
          <m:rPr>
            <m:sty m:val="p"/>
          </m:rPr>
          <m:t>]</m:t>
        </m:r>
      </m:oMath>
      <w:r>
        <w:t xml:space="preserve">, preventing rare words from ranking artificially high. We set minimum frequency</w:t>
      </w:r>
      <w:r>
        <w:t xml:space="preserve"> </w:t>
      </w:r>
      <m:oMath>
        <m:r>
          <m:rPr>
            <m:sty m:val="p"/>
          </m:rPr>
          <m:t>≥</m:t>
        </m:r>
        <m:r>
          <m:t>20</m:t>
        </m:r>
      </m:oMath>
      <w:r>
        <w:t xml:space="preserve"> </w:t>
      </w:r>
      <w:r>
        <w:t xml:space="preserve">and restrict to Latin-script texts.</w:t>
      </w:r>
    </w:p>
    <w:bookmarkEnd w:id="38"/>
    <w:bookmarkStart w:id="40" w:name="context-distribution-by-variant"/>
    <w:p>
      <w:pPr>
        <w:pStyle w:val="Heading2"/>
      </w:pPr>
      <w:r>
        <w:t xml:space="preserve">Context Distribution by Variant</w:t>
      </w:r>
    </w:p>
    <w:p>
      <w:pPr>
        <w:pStyle w:val="FirstParagraph"/>
      </w:pPr>
      <w:r>
        <w:t xml:space="preserve">Table </w:t>
      </w:r>
      <w:hyperlink w:anchor="tab:context-variant">
        <w:r>
          <w:rPr>
            <w:rStyle w:val="Hyperlink"/>
          </w:rPr>
          <w:t xml:space="preserve">5</w:t>
        </w:r>
      </w:hyperlink>
      <w:r>
        <w:t xml:space="preserve"> </w:t>
      </w:r>
      <w:r>
        <w:t xml:space="preserve">shows the aggregate context distribution across all 55 pairs.</w:t>
      </w:r>
    </w:p>
    <w:bookmarkStart w:id="39" w:name="tab:context-variant"/>
    <w:p>
      <w:pPr>
        <w:pStyle w:val="TableCaption"/>
      </w:pPr>
      <w:r>
        <w:t xml:space="preserve">Context distribution by variant (all 55 pairs). Differences</w:t>
      </w:r>
      <w:r>
        <w:t xml:space="preserve"> </w:t>
      </w:r>
      <m:oMath>
        <m:r>
          <m:rPr>
            <m:sty m:val="p"/>
          </m:rPr>
          <m:t>&gt;</m:t>
        </m:r>
      </m:oMath>
      <w:r>
        <w:t xml:space="preserve">2pp are bolded.</w:t>
      </w:r>
    </w:p>
    <w:tbl>
      <w:tblPr>
        <w:tblStyle w:val="Table"/>
        <w:tblW w:type="auto" w:w="0"/>
        <w:tblLook w:firstRow="1" w:lastRow="0" w:firstColumn="0" w:lastColumn="0" w:noHBand="0" w:noVBand="0" w:val="0020"/>
        <w:tblCaption w:val="Context distribution by variant (all 55 pairs). Differences &gt;2pp are bolded."/>
      </w:tblPr>
      <w:tblGrid>
        <w:gridCol w:w="1980"/>
        <w:gridCol w:w="1980"/>
        <w:gridCol w:w="1980"/>
        <w:gridCol w:w="1980"/>
      </w:tblGrid>
      <w:tr>
        <w:trPr>
          <w:tblHeader w:val="on"/>
        </w:trPr>
        <w:tc>
          <w:tcPr/>
          <w:p>
            <w:pPr>
              <w:pStyle w:val="Compact"/>
              <w:jc w:val="left"/>
            </w:pPr>
            <w:r>
              <w:rPr>
                <w:b/>
                <w:bCs/>
              </w:rPr>
              <w:t xml:space="preserve">Context</w:t>
            </w:r>
          </w:p>
        </w:tc>
        <w:tc>
          <w:tcPr/>
          <w:p>
            <w:pPr>
              <w:pStyle w:val="Compact"/>
              <w:jc w:val="right"/>
            </w:pPr>
            <w:r>
              <w:rPr>
                <w:b/>
                <w:bCs/>
              </w:rPr>
              <w:t xml:space="preserve">Russian</w:t>
            </w:r>
          </w:p>
        </w:tc>
        <w:tc>
          <w:tcPr/>
          <w:p>
            <w:pPr>
              <w:pStyle w:val="Compact"/>
              <w:jc w:val="right"/>
            </w:pPr>
            <w:r>
              <w:rPr>
                <w:b/>
                <w:bCs/>
              </w:rPr>
              <w:t xml:space="preserve">Ukrainian</w:t>
            </w:r>
          </w:p>
        </w:tc>
        <w:tc>
          <w:tcPr/>
          <w:p>
            <w:pPr>
              <w:pStyle w:val="Compact"/>
              <w:jc w:val="right"/>
            </w:pPr>
            <m:oMath>
              <m:r>
                <m:rPr>
                  <m:sty m:val="p"/>
                </m:rPr>
                <m:t>Δ</m:t>
              </m:r>
            </m:oMath>
          </w:p>
        </w:tc>
      </w:tr>
      <w:tr>
        <w:tc>
          <w:tcPr/>
          <w:p>
            <w:pPr>
              <w:pStyle w:val="Compact"/>
              <w:jc w:val="left"/>
            </w:pPr>
            <w:r>
              <w:t xml:space="preserve">Academic</w:t>
            </w:r>
          </w:p>
        </w:tc>
        <w:tc>
          <w:tcPr/>
          <w:p>
            <w:pPr>
              <w:pStyle w:val="Compact"/>
              <w:jc w:val="right"/>
            </w:pPr>
            <w:r>
              <w:t xml:space="preserve">23.0%</w:t>
            </w:r>
          </w:p>
        </w:tc>
        <w:tc>
          <w:tcPr/>
          <w:p>
            <w:pPr>
              <w:pStyle w:val="Compact"/>
              <w:jc w:val="right"/>
            </w:pPr>
            <w:r>
              <w:t xml:space="preserve">28.9%</w:t>
            </w:r>
          </w:p>
        </w:tc>
        <w:tc>
          <w:tcPr/>
          <w:p>
            <w:pPr>
              <w:pStyle w:val="Compact"/>
              <w:jc w:val="right"/>
            </w:pPr>
            <w:r>
              <w:rPr>
                <w:b/>
                <w:bCs/>
              </w:rPr>
              <w:t xml:space="preserve">+5.9pp</w:t>
            </w:r>
          </w:p>
        </w:tc>
      </w:tr>
      <w:tr>
        <w:tc>
          <w:tcPr/>
          <w:p>
            <w:pPr>
              <w:pStyle w:val="Compact"/>
              <w:jc w:val="left"/>
            </w:pPr>
            <w:r>
              <w:t xml:space="preserve">War &amp; Conflict</w:t>
            </w:r>
          </w:p>
        </w:tc>
        <w:tc>
          <w:tcPr/>
          <w:p>
            <w:pPr>
              <w:pStyle w:val="Compact"/>
              <w:jc w:val="right"/>
            </w:pPr>
            <w:r>
              <w:t xml:space="preserve">22.1%</w:t>
            </w:r>
          </w:p>
        </w:tc>
        <w:tc>
          <w:tcPr/>
          <w:p>
            <w:pPr>
              <w:pStyle w:val="Compact"/>
              <w:jc w:val="right"/>
            </w:pPr>
            <w:r>
              <w:t xml:space="preserve">24.4%</w:t>
            </w:r>
          </w:p>
        </w:tc>
        <w:tc>
          <w:tcPr/>
          <w:p>
            <w:pPr>
              <w:pStyle w:val="Compact"/>
              <w:jc w:val="right"/>
            </w:pPr>
            <w:r>
              <w:rPr>
                <w:b/>
                <w:bCs/>
              </w:rPr>
              <w:t xml:space="preserve">+2.3pp</w:t>
            </w:r>
          </w:p>
        </w:tc>
      </w:tr>
      <w:tr>
        <w:tc>
          <w:tcPr/>
          <w:p>
            <w:pPr>
              <w:pStyle w:val="Compact"/>
              <w:jc w:val="left"/>
            </w:pPr>
            <w:r>
              <w:t xml:space="preserve">Politics</w:t>
            </w:r>
          </w:p>
        </w:tc>
        <w:tc>
          <w:tcPr/>
          <w:p>
            <w:pPr>
              <w:pStyle w:val="Compact"/>
              <w:jc w:val="right"/>
            </w:pPr>
            <w:r>
              <w:t xml:space="preserve">11.5%</w:t>
            </w:r>
          </w:p>
        </w:tc>
        <w:tc>
          <w:tcPr/>
          <w:p>
            <w:pPr>
              <w:pStyle w:val="Compact"/>
              <w:jc w:val="right"/>
            </w:pPr>
            <w:r>
              <w:t xml:space="preserve">9.7%</w:t>
            </w:r>
          </w:p>
        </w:tc>
        <w:tc>
          <w:tcPr/>
          <w:p>
            <w:pPr>
              <w:pStyle w:val="Compact"/>
              <w:jc w:val="right"/>
            </w:pPr>
            <m:oMath>
              <m:r>
                <m:rPr>
                  <m:sty m:val="p"/>
                </m:rPr>
                <m:t>−</m:t>
              </m:r>
              <m:r>
                <m:t>1.8</m:t>
              </m:r>
            </m:oMath>
            <w:r>
              <w:t xml:space="preserve">pp</w:t>
            </w:r>
          </w:p>
        </w:tc>
      </w:tr>
      <w:tr>
        <w:tc>
          <w:tcPr/>
          <w:p>
            <w:pPr>
              <w:pStyle w:val="Compact"/>
              <w:jc w:val="left"/>
            </w:pPr>
            <w:r>
              <w:t xml:space="preserve">History</w:t>
            </w:r>
          </w:p>
        </w:tc>
        <w:tc>
          <w:tcPr/>
          <w:p>
            <w:pPr>
              <w:pStyle w:val="Compact"/>
              <w:jc w:val="right"/>
            </w:pPr>
            <w:r>
              <w:t xml:space="preserve">9.8%</w:t>
            </w:r>
          </w:p>
        </w:tc>
        <w:tc>
          <w:tcPr/>
          <w:p>
            <w:pPr>
              <w:pStyle w:val="Compact"/>
              <w:jc w:val="right"/>
            </w:pPr>
            <w:r>
              <w:t xml:space="preserve">4.5%</w:t>
            </w:r>
          </w:p>
        </w:tc>
        <w:tc>
          <w:tcPr/>
          <w:p>
            <w:pPr>
              <w:pStyle w:val="Compact"/>
              <w:jc w:val="right"/>
            </w:pPr>
            <m:oMath>
              <m:r>
                <m:rPr>
                  <m:sty m:val="p"/>
                </m:rPr>
                <m:t>−</m:t>
              </m:r>
              <m:r>
                <m:t>5.3</m:t>
              </m:r>
            </m:oMath>
            <w:r>
              <w:rPr>
                <w:b/>
                <w:bCs/>
              </w:rPr>
              <w:t xml:space="preserve">pp</w:t>
            </w:r>
          </w:p>
        </w:tc>
      </w:tr>
      <w:tr>
        <w:tc>
          <w:tcPr/>
          <w:p>
            <w:pPr>
              <w:pStyle w:val="Compact"/>
              <w:jc w:val="left"/>
            </w:pPr>
            <w:r>
              <w:t xml:space="preserve">Travel</w:t>
            </w:r>
          </w:p>
        </w:tc>
        <w:tc>
          <w:tcPr/>
          <w:p>
            <w:pPr>
              <w:pStyle w:val="Compact"/>
              <w:jc w:val="right"/>
            </w:pPr>
            <w:r>
              <w:t xml:space="preserve">8.6%</w:t>
            </w:r>
          </w:p>
        </w:tc>
        <w:tc>
          <w:tcPr/>
          <w:p>
            <w:pPr>
              <w:pStyle w:val="Compact"/>
              <w:jc w:val="right"/>
            </w:pPr>
            <w:r>
              <w:t xml:space="preserve">7.9%</w:t>
            </w:r>
          </w:p>
        </w:tc>
        <w:tc>
          <w:tcPr/>
          <w:p>
            <w:pPr>
              <w:pStyle w:val="Compact"/>
              <w:jc w:val="right"/>
            </w:pPr>
            <m:oMath>
              <m:r>
                <m:rPr>
                  <m:sty m:val="p"/>
                </m:rPr>
                <m:t>−</m:t>
              </m:r>
              <m:r>
                <m:t>0.7</m:t>
              </m:r>
            </m:oMath>
            <w:r>
              <w:t xml:space="preserve">pp</w:t>
            </w:r>
          </w:p>
        </w:tc>
      </w:tr>
      <w:tr>
        <w:tc>
          <w:tcPr/>
          <w:p>
            <w:pPr>
              <w:pStyle w:val="Compact"/>
              <w:jc w:val="left"/>
            </w:pPr>
            <w:r>
              <w:t xml:space="preserve">Sports</w:t>
            </w:r>
          </w:p>
        </w:tc>
        <w:tc>
          <w:tcPr/>
          <w:p>
            <w:pPr>
              <w:pStyle w:val="Compact"/>
              <w:jc w:val="right"/>
            </w:pPr>
            <w:r>
              <w:t xml:space="preserve">4.7%</w:t>
            </w:r>
          </w:p>
        </w:tc>
        <w:tc>
          <w:tcPr/>
          <w:p>
            <w:pPr>
              <w:pStyle w:val="Compact"/>
              <w:jc w:val="right"/>
            </w:pPr>
            <w:r>
              <w:t xml:space="preserve">8.0%</w:t>
            </w:r>
          </w:p>
        </w:tc>
        <w:tc>
          <w:tcPr/>
          <w:p>
            <w:pPr>
              <w:pStyle w:val="Compact"/>
              <w:jc w:val="right"/>
            </w:pPr>
            <w:r>
              <w:rPr>
                <w:b/>
                <w:bCs/>
              </w:rPr>
              <w:t xml:space="preserve">+3.3pp</w:t>
            </w:r>
          </w:p>
        </w:tc>
      </w:tr>
      <w:tr>
        <w:tc>
          <w:tcPr/>
          <w:p>
            <w:pPr>
              <w:pStyle w:val="Compact"/>
              <w:jc w:val="left"/>
            </w:pPr>
            <w:r>
              <w:t xml:space="preserve">General News</w:t>
            </w:r>
          </w:p>
        </w:tc>
        <w:tc>
          <w:tcPr/>
          <w:p>
            <w:pPr>
              <w:pStyle w:val="Compact"/>
              <w:jc w:val="right"/>
            </w:pPr>
            <w:r>
              <w:t xml:space="preserve">8.7%</w:t>
            </w:r>
          </w:p>
        </w:tc>
        <w:tc>
          <w:tcPr/>
          <w:p>
            <w:pPr>
              <w:pStyle w:val="Compact"/>
              <w:jc w:val="right"/>
            </w:pPr>
            <w:r>
              <w:t xml:space="preserve">5.5%</w:t>
            </w:r>
          </w:p>
        </w:tc>
        <w:tc>
          <w:tcPr/>
          <w:p>
            <w:pPr>
              <w:pStyle w:val="Compact"/>
              <w:jc w:val="right"/>
            </w:pPr>
            <m:oMath>
              <m:r>
                <m:rPr>
                  <m:sty m:val="p"/>
                </m:rPr>
                <m:t>−</m:t>
              </m:r>
              <m:r>
                <m:t>3.2</m:t>
              </m:r>
            </m:oMath>
            <w:r>
              <w:rPr>
                <w:b/>
                <w:bCs/>
              </w:rPr>
              <w:t xml:space="preserve">pp</w:t>
            </w:r>
          </w:p>
        </w:tc>
      </w:tr>
      <w:tr>
        <w:tc>
          <w:tcPr/>
          <w:p>
            <w:pPr>
              <w:pStyle w:val="Compact"/>
              <w:jc w:val="left"/>
            </w:pPr>
            <w:r>
              <w:t xml:space="preserve">Culture &amp; Arts</w:t>
            </w:r>
          </w:p>
        </w:tc>
        <w:tc>
          <w:tcPr/>
          <w:p>
            <w:pPr>
              <w:pStyle w:val="Compact"/>
              <w:jc w:val="right"/>
            </w:pPr>
            <w:r>
              <w:t xml:space="preserve">5.6%</w:t>
            </w:r>
          </w:p>
        </w:tc>
        <w:tc>
          <w:tcPr/>
          <w:p>
            <w:pPr>
              <w:pStyle w:val="Compact"/>
              <w:jc w:val="right"/>
            </w:pPr>
            <w:r>
              <w:t xml:space="preserve">5.7%</w:t>
            </w:r>
          </w:p>
        </w:tc>
        <w:tc>
          <w:tcPr/>
          <w:p>
            <w:pPr>
              <w:pStyle w:val="Compact"/>
              <w:jc w:val="right"/>
            </w:pPr>
            <w:r>
              <w:t xml:space="preserve">+0.1pp</w:t>
            </w:r>
          </w:p>
        </w:tc>
      </w:tr>
      <w:tr>
        <w:tc>
          <w:tcPr/>
          <w:p>
            <w:pPr>
              <w:pStyle w:val="Compact"/>
              <w:jc w:val="left"/>
            </w:pPr>
            <w:r>
              <w:t xml:space="preserve">Food</w:t>
            </w:r>
          </w:p>
        </w:tc>
        <w:tc>
          <w:tcPr/>
          <w:p>
            <w:pPr>
              <w:pStyle w:val="Compact"/>
              <w:jc w:val="right"/>
            </w:pPr>
            <w:r>
              <w:t xml:space="preserve">4.1%</w:t>
            </w:r>
          </w:p>
        </w:tc>
        <w:tc>
          <w:tcPr/>
          <w:p>
            <w:pPr>
              <w:pStyle w:val="Compact"/>
              <w:jc w:val="right"/>
            </w:pPr>
            <w:r>
              <w:t xml:space="preserve">3.5%</w:t>
            </w:r>
          </w:p>
        </w:tc>
        <w:tc>
          <w:tcPr/>
          <w:p>
            <w:pPr>
              <w:pStyle w:val="Compact"/>
              <w:jc w:val="right"/>
            </w:pPr>
            <m:oMath>
              <m:r>
                <m:rPr>
                  <m:sty m:val="p"/>
                </m:rPr>
                <m:t>−</m:t>
              </m:r>
              <m:r>
                <m:t>0.6</m:t>
              </m:r>
            </m:oMath>
            <w:r>
              <w:t xml:space="preserve">pp</w:t>
            </w:r>
          </w:p>
        </w:tc>
      </w:tr>
      <w:tr>
        <w:tc>
          <w:tcPr/>
          <w:p>
            <w:pPr>
              <w:pStyle w:val="Compact"/>
              <w:jc w:val="left"/>
            </w:pPr>
            <w:r>
              <w:t xml:space="preserve">Business</w:t>
            </w:r>
          </w:p>
        </w:tc>
        <w:tc>
          <w:tcPr/>
          <w:p>
            <w:pPr>
              <w:pStyle w:val="Compact"/>
              <w:jc w:val="right"/>
            </w:pPr>
            <w:r>
              <w:t xml:space="preserve">1.9%</w:t>
            </w:r>
          </w:p>
        </w:tc>
        <w:tc>
          <w:tcPr/>
          <w:p>
            <w:pPr>
              <w:pStyle w:val="Compact"/>
              <w:jc w:val="right"/>
            </w:pPr>
            <w:r>
              <w:t xml:space="preserve">2.0%</w:t>
            </w:r>
          </w:p>
        </w:tc>
        <w:tc>
          <w:tcPr/>
          <w:p>
            <w:pPr>
              <w:pStyle w:val="Compact"/>
              <w:jc w:val="right"/>
            </w:pPr>
            <w:r>
              <w:t xml:space="preserve">+0.1pp</w:t>
            </w:r>
          </w:p>
        </w:tc>
      </w:tr>
    </w:tbl>
    <w:bookmarkEnd w:id="39"/>
    <w:p>
      <w:pPr>
        <w:pStyle w:val="BodyText"/>
      </w:pPr>
      <w:r>
        <w:t xml:space="preserve">Two patterns emerge: (1) Russian forms dominate</w:t>
      </w:r>
      <w:r>
        <w:t xml:space="preserve"> </w:t>
      </w:r>
      <w:r>
        <w:rPr>
          <w:b/>
          <w:bCs/>
        </w:rPr>
        <w:t xml:space="preserve">historical</w:t>
      </w:r>
      <w:r>
        <w:t xml:space="preserve"> </w:t>
      </w:r>
      <w:r>
        <w:t xml:space="preserve">contexts (</w:t>
      </w:r>
      <m:oMath>
        <m:r>
          <m:rPr>
            <m:sty m:val="p"/>
          </m:rPr>
          <m:t>−</m:t>
        </m:r>
        <m:r>
          <m:t>5.3</m:t>
        </m:r>
      </m:oMath>
      <w:r>
        <w:t xml:space="preserve">pp), reflecting citation inertia in academic and reference texts; (2) Ukrainian forms dominate</w:t>
      </w:r>
      <w:r>
        <w:t xml:space="preserve"> </w:t>
      </w:r>
      <w:r>
        <w:rPr>
          <w:b/>
          <w:bCs/>
        </w:rPr>
        <w:t xml:space="preserve">academic</w:t>
      </w:r>
      <w:r>
        <w:t xml:space="preserve"> </w:t>
      </w:r>
      <w:r>
        <w:t xml:space="preserve">(+5.9pp) and</w:t>
      </w:r>
      <w:r>
        <w:t xml:space="preserve"> </w:t>
      </w:r>
      <w:r>
        <w:rPr>
          <w:b/>
          <w:bCs/>
        </w:rPr>
        <w:t xml:space="preserve">sports</w:t>
      </w:r>
      <w:r>
        <w:t xml:space="preserve"> </w:t>
      </w:r>
      <w:r>
        <w:t xml:space="preserve">(+3.3pp) contexts, reflecting post-campaign institutional adoption (UEFA, AP).</w:t>
      </w:r>
    </w:p>
    <w:bookmarkEnd w:id="40"/>
    <w:bookmarkEnd w:id="41"/>
    <w:bookmarkStart w:id="48" w:name="sec:mechanisms"/>
    <w:p>
      <w:pPr>
        <w:pStyle w:val="Heading1"/>
      </w:pPr>
      <w:r>
        <w:t xml:space="preserve">Six Mechanisms of Adoption</w:t>
      </w:r>
    </w:p>
    <w:p>
      <w:pPr>
        <w:pStyle w:val="FirstParagraph"/>
      </w:pPr>
      <w:r>
        <w:t xml:space="preserve">Deep analysis of 6 key pairs—selected to span the full adoption spectrum—reveals six distinct mechanisms driving (or resisting) toponym adoption.</w:t>
      </w:r>
    </w:p>
    <w:bookmarkStart w:id="42" w:name="cultural-fossilization-kiev-to-kyiv"/>
    <w:p>
      <w:pPr>
        <w:pStyle w:val="Heading2"/>
      </w:pPr>
      <w:r>
        <w:t xml:space="preserve">Cultural Fossilization: Kiev</w:t>
      </w:r>
      <w:r>
        <w:t xml:space="preserve"> </w:t>
      </w:r>
      <m:oMath>
        <m:r>
          <m:rPr>
            <m:sty m:val="p"/>
          </m:rPr>
          <m:t>→</m:t>
        </m:r>
      </m:oMath>
      <w:r>
        <w:t xml:space="preserve"> </w:t>
      </w:r>
      <w:r>
        <w:t xml:space="preserve">Kyiv</w:t>
      </w:r>
    </w:p>
    <w:p>
      <w:pPr>
        <w:pStyle w:val="FirstParagraph"/>
      </w:pPr>
      <w:r>
        <w:t xml:space="preserve">Adoption: 60.3%.</w:t>
      </w:r>
      <w:r>
        <w:t xml:space="preserve"> </w:t>
      </w:r>
      <w:r>
        <w:t xml:space="preserve">“Kiev”</w:t>
      </w:r>
      <w:r>
        <w:t xml:space="preserve"> </w:t>
      </w:r>
      <w:r>
        <w:t xml:space="preserve">persists in</w:t>
      </w:r>
      <w:r>
        <w:t xml:space="preserve"> </w:t>
      </w:r>
      <w:r>
        <w:rPr>
          <w:b/>
          <w:bCs/>
        </w:rPr>
        <w:t xml:space="preserve">food</w:t>
      </w:r>
      <w:r>
        <w:t xml:space="preserve"> </w:t>
      </w:r>
      <w:r>
        <w:t xml:space="preserve">(</w:t>
      </w:r>
      <m:oMath>
        <m:r>
          <m:rPr>
            <m:sty m:val="p"/>
          </m:rPr>
          <m:t>−</m:t>
        </m:r>
        <m:r>
          <m:t>4.7</m:t>
        </m:r>
      </m:oMath>
      <w:r>
        <w:t xml:space="preserve">pp) and</w:t>
      </w:r>
      <w:r>
        <w:t xml:space="preserve"> </w:t>
      </w:r>
      <w:r>
        <w:rPr>
          <w:b/>
          <w:bCs/>
        </w:rPr>
        <w:t xml:space="preserve">history</w:t>
      </w:r>
      <w:r>
        <w:t xml:space="preserve"> </w:t>
      </w:r>
      <w:r>
        <w:t xml:space="preserve">(</w:t>
      </w:r>
      <m:oMath>
        <m:r>
          <m:rPr>
            <m:sty m:val="p"/>
          </m:rPr>
          <m:t>−</m:t>
        </m:r>
        <m:r>
          <m:t>8.2</m:t>
        </m:r>
      </m:oMath>
      <w:r>
        <w:t xml:space="preserve">pp) contexts. Top collocates:</w:t>
      </w:r>
      <w:r>
        <w:t xml:space="preserve"> </w:t>
      </w:r>
      <w:r>
        <w:rPr>
          <w:i/>
          <w:iCs/>
        </w:rPr>
        <w:t xml:space="preserve">chicken, pronunciation, streets</w:t>
      </w:r>
      <w:r>
        <w:t xml:space="preserve"> </w:t>
      </w:r>
      <w:r>
        <w:t xml:space="preserve">(RU) vs. </w:t>
      </w:r>
      <w:r>
        <w:rPr>
          <w:i/>
          <w:iCs/>
        </w:rPr>
        <w:t xml:space="preserve">dynamo, barcelona, walk</w:t>
      </w:r>
      <w:r>
        <w:t xml:space="preserve"> </w:t>
      </w:r>
      <w:r>
        <w:t xml:space="preserve">(UA). The recipe name</w:t>
      </w:r>
      <w:r>
        <w:t xml:space="preserve"> </w:t>
      </w:r>
      <w:r>
        <w:t xml:space="preserve">“Chicken Kiev”</w:t>
      </w:r>
      <w:r>
        <w:t xml:space="preserve"> </w:t>
      </w:r>
      <w:r>
        <w:t xml:space="preserve">functions as a linguistic fossil—a cultural artifact that preserves the old spelling regardless of political awareness.</w:t>
      </w:r>
    </w:p>
    <w:bookmarkEnd w:id="42"/>
    <w:bookmarkStart w:id="43" w:name="brand-lock-in-chernobyl-to-chornobyl"/>
    <w:p>
      <w:pPr>
        <w:pStyle w:val="Heading2"/>
      </w:pPr>
      <w:r>
        <w:t xml:space="preserve">Brand Lock-In: Chernobyl</w:t>
      </w:r>
      <w:r>
        <w:t xml:space="preserve"> </w:t>
      </w:r>
      <m:oMath>
        <m:r>
          <m:rPr>
            <m:sty m:val="p"/>
          </m:rPr>
          <m:t>→</m:t>
        </m:r>
      </m:oMath>
      <w:r>
        <w:t xml:space="preserve"> </w:t>
      </w:r>
      <w:r>
        <w:t xml:space="preserve">Chornobyl</w:t>
      </w:r>
    </w:p>
    <w:p>
      <w:pPr>
        <w:pStyle w:val="FirstParagraph"/>
      </w:pPr>
      <w:r>
        <w:t xml:space="preserve">Adoption: 26.8%. The starkest discourse split.</w:t>
      </w:r>
      <w:r>
        <w:t xml:space="preserve"> </w:t>
      </w:r>
      <w:r>
        <w:t xml:space="preserve">“Chernobyl”</w:t>
      </w:r>
      <w:r>
        <w:t xml:space="preserve"> </w:t>
      </w:r>
      <w:r>
        <w:t xml:space="preserve">collocates:</w:t>
      </w:r>
      <w:r>
        <w:t xml:space="preserve"> </w:t>
      </w:r>
      <w:r>
        <w:rPr>
          <w:i/>
          <w:iCs/>
        </w:rPr>
        <w:t xml:space="preserve">hbo, fukushima, pripyat</w:t>
      </w:r>
      <w:r>
        <w:t xml:space="preserve">—entertainment and disaster tourism.</w:t>
      </w:r>
      <w:r>
        <w:t xml:space="preserve"> </w:t>
      </w:r>
      <w:r>
        <w:t xml:space="preserve">“Chornobyl”</w:t>
      </w:r>
      <w:r>
        <w:t xml:space="preserve"> </w:t>
      </w:r>
      <w:r>
        <w:t xml:space="preserve">collocates:</w:t>
      </w:r>
      <w:r>
        <w:t xml:space="preserve"> </w:t>
      </w:r>
      <w:r>
        <w:rPr>
          <w:i/>
          <w:iCs/>
        </w:rPr>
        <w:t xml:space="preserve">cleanup, exclusion, heart</w:t>
      </w:r>
      <w:r>
        <w:t xml:space="preserve">—nuclear operations and the 2024 S.T.A.L.K.E.R. 2 game. Historical context:</w:t>
      </w:r>
      <w:r>
        <w:t xml:space="preserve"> </w:t>
      </w:r>
      <m:oMath>
        <m:r>
          <m:rPr>
            <m:sty m:val="p"/>
          </m:rPr>
          <m:t>−</m:t>
        </m:r>
        <m:r>
          <m:t>11.0</m:t>
        </m:r>
      </m:oMath>
      <w:r>
        <w:t xml:space="preserve">pp Russian-skewed. Sentiment:</w:t>
      </w:r>
      <w:r>
        <w:t xml:space="preserve"> </w:t>
      </w:r>
      <w:r>
        <w:t xml:space="preserve">“Chernobyl”</w:t>
      </w:r>
      <w:r>
        <w:t xml:space="preserve"> </w:t>
      </w:r>
      <w:r>
        <w:t xml:space="preserve">texts are more negative (</w:t>
      </w:r>
      <m:oMath>
        <m:r>
          <m:rPr>
            <m:sty m:val="p"/>
          </m:rPr>
          <m:t>−</m:t>
        </m:r>
        <m:r>
          <m:t>0.13</m:t>
        </m:r>
      </m:oMath>
      <w:r>
        <w:t xml:space="preserve"> </w:t>
      </w:r>
      <w:r>
        <w:t xml:space="preserve">vs. </w:t>
      </w:r>
      <m:oMath>
        <m:r>
          <m:rPr>
            <m:sty m:val="p"/>
          </m:rPr>
          <m:t>−</m:t>
        </m:r>
        <m:r>
          <m:t>0.07</m:t>
        </m:r>
      </m:oMath>
      <w:r>
        <w:t xml:space="preserve">).</w:t>
      </w:r>
    </w:p>
    <w:p>
      <w:pPr>
        <w:pStyle w:val="BodyText"/>
      </w:pPr>
      <w:r>
        <w:rPr>
          <w:b/>
          <w:bCs/>
        </w:rPr>
        <w:t xml:space="preserve">Finding:</w:t>
      </w:r>
      <w:r>
        <w:t xml:space="preserve"> </w:t>
      </w:r>
      <w:r>
        <w:t xml:space="preserve">Brand names resist spelling reform because the spelling</w:t>
      </w:r>
      <w:r>
        <w:t xml:space="preserve"> </w:t>
      </w:r>
      <w:r>
        <w:rPr>
          <w:i/>
          <w:iCs/>
        </w:rPr>
        <w:t xml:space="preserve">is</w:t>
      </w:r>
      <w:r>
        <w:t xml:space="preserve"> </w:t>
      </w:r>
      <w:r>
        <w:t xml:space="preserve">the brand.</w:t>
      </w:r>
      <w:r>
        <w:t xml:space="preserve"> </w:t>
      </w:r>
      <w:r>
        <w:t xml:space="preserve">“Chernobyl”</w:t>
      </w:r>
      <w:r>
        <w:t xml:space="preserve"> </w:t>
      </w:r>
      <w:r>
        <w:t xml:space="preserve">no longer refers to a place—it refers to a cultural concept.</w:t>
      </w:r>
    </w:p>
    <w:bookmarkEnd w:id="43"/>
    <w:bookmarkStart w:id="44" w:name="war-driven-adoption-odessa-to-odesa"/>
    <w:p>
      <w:pPr>
        <w:pStyle w:val="Heading2"/>
      </w:pPr>
      <w:r>
        <w:t xml:space="preserve">War-Driven Adoption: Odessa</w:t>
      </w:r>
      <w:r>
        <w:t xml:space="preserve"> </w:t>
      </w:r>
      <m:oMath>
        <m:r>
          <m:rPr>
            <m:sty m:val="p"/>
          </m:rPr>
          <m:t>→</m:t>
        </m:r>
      </m:oMath>
      <w:r>
        <w:t xml:space="preserve"> </w:t>
      </w:r>
      <w:r>
        <w:t xml:space="preserve">Odesa</w:t>
      </w:r>
    </w:p>
    <w:p>
      <w:pPr>
        <w:pStyle w:val="FirstParagraph"/>
      </w:pPr>
      <w:r>
        <w:t xml:space="preserve">Adoption: 43.2%. War context:</w:t>
      </w:r>
      <w:r>
        <w:t xml:space="preserve"> </w:t>
      </w:r>
      <m:oMath>
        <m:r>
          <m:rPr>
            <m:sty m:val="p"/>
          </m:rPr>
          <m:t>+</m:t>
        </m:r>
        <m:r>
          <m:t>14.6</m:t>
        </m:r>
      </m:oMath>
      <w:r>
        <w:t xml:space="preserve">pp Ukrainian-skewed—the largest single-category difference among all 6 pairs.</w:t>
      </w:r>
      <w:r>
        <w:t xml:space="preserve"> </w:t>
      </w:r>
      <w:r>
        <w:t xml:space="preserve">“Odessa”</w:t>
      </w:r>
      <w:r>
        <w:t xml:space="preserve"> </w:t>
      </w:r>
      <w:r>
        <w:t xml:space="preserve">collocates:</w:t>
      </w:r>
      <w:r>
        <w:t xml:space="preserve"> </w:t>
      </w:r>
      <w:r>
        <w:rPr>
          <w:i/>
          <w:iCs/>
        </w:rPr>
        <w:t xml:space="preserve">meteorite, texas, history</w:t>
      </w:r>
      <w:r>
        <w:t xml:space="preserve"> </w:t>
      </w:r>
      <w:r>
        <w:t xml:space="preserve">(there is an Odessa, Texas).</w:t>
      </w:r>
      <w:r>
        <w:t xml:space="preserve"> </w:t>
      </w:r>
      <w:r>
        <w:t xml:space="preserve">“Odesa”</w:t>
      </w:r>
      <w:r>
        <w:t xml:space="preserve"> </w:t>
      </w:r>
      <w:r>
        <w:t xml:space="preserve">collocates:</w:t>
      </w:r>
      <w:r>
        <w:t xml:space="preserve"> </w:t>
      </w:r>
      <w:r>
        <w:rPr>
          <w:i/>
          <w:iCs/>
        </w:rPr>
        <w:t xml:space="preserve">strikes, port, bay</w:t>
      </w:r>
      <w:r>
        <w:t xml:space="preserve">. Sentiment inverted:</w:t>
      </w:r>
      <w:r>
        <w:t xml:space="preserve"> </w:t>
      </w:r>
      <w:r>
        <w:t xml:space="preserve">“Odesa”</w:t>
      </w:r>
      <w:r>
        <w:t xml:space="preserve"> </w:t>
      </w:r>
      <w:r>
        <w:t xml:space="preserve">is</w:t>
      </w:r>
      <w:r>
        <w:t xml:space="preserve"> </w:t>
      </w:r>
      <w:r>
        <w:rPr>
          <w:i/>
          <w:iCs/>
        </w:rPr>
        <w:t xml:space="preserve">more negative</w:t>
      </w:r>
      <w:r>
        <w:t xml:space="preserve"> </w:t>
      </w:r>
      <w:r>
        <w:t xml:space="preserve">(</w:t>
      </w:r>
      <m:oMath>
        <m:r>
          <m:rPr>
            <m:sty m:val="p"/>
          </m:rPr>
          <m:t>−</m:t>
        </m:r>
        <m:r>
          <m:t>0.14</m:t>
        </m:r>
      </m:oMath>
      <w:r>
        <w:t xml:space="preserve"> </w:t>
      </w:r>
      <w:r>
        <w:t xml:space="preserve">vs. </w:t>
      </w:r>
      <m:oMath>
        <m:r>
          <m:rPr>
            <m:sty m:val="p"/>
          </m:rPr>
          <m:t>−</m:t>
        </m:r>
        <m:r>
          <m:t>0.03</m:t>
        </m:r>
      </m:oMath>
      <w:r>
        <w:t xml:space="preserve">) because it appears in missile strike reporting.</w:t>
      </w:r>
    </w:p>
    <w:p>
      <w:pPr>
        <w:pStyle w:val="BodyText"/>
      </w:pPr>
      <w:r>
        <w:rPr>
          <w:b/>
          <w:bCs/>
        </w:rPr>
        <w:t xml:space="preserve">Finding:</w:t>
      </w:r>
      <w:r>
        <w:t xml:space="preserve"> </w:t>
      </w:r>
      <w:r>
        <w:t xml:space="preserve">War reporting is the most powerful adoption driver. Journalists covering active conflict use Ukrainian forms; cultural and historical references preserve Russian forms.</w:t>
      </w:r>
    </w:p>
    <w:bookmarkEnd w:id="44"/>
    <w:bookmarkStart w:id="45" w:name="X0d4b0d743c00c021338b7ad2143317ca24e0944"/>
    <w:p>
      <w:pPr>
        <w:pStyle w:val="Heading2"/>
      </w:pPr>
      <w:r>
        <w:t xml:space="preserve">Identity Framing: Vladimir Zelensky</w:t>
      </w:r>
      <w:r>
        <w:t xml:space="preserve"> </w:t>
      </w:r>
      <m:oMath>
        <m:r>
          <m:rPr>
            <m:sty m:val="p"/>
          </m:rPr>
          <m:t>→</m:t>
        </m:r>
      </m:oMath>
      <w:r>
        <w:t xml:space="preserve"> </w:t>
      </w:r>
      <w:r>
        <w:t xml:space="preserve">Volodymyr Zelenskyy</w:t>
      </w:r>
    </w:p>
    <w:p>
      <w:pPr>
        <w:pStyle w:val="FirstParagraph"/>
      </w:pPr>
      <w:r>
        <w:t xml:space="preserve">Adoption: 57.4%. Context distributions are nearly identical (</w:t>
      </w:r>
      <m:oMath>
        <m:r>
          <m:rPr>
            <m:sty m:val="p"/>
          </m:rPr>
          <m:t>∼</m:t>
        </m:r>
      </m:oMath>
      <w:r>
        <w:t xml:space="preserve">70% politics). But collocations reveal framing:</w:t>
      </w:r>
      <w:r>
        <w:t xml:space="preserve"> </w:t>
      </w:r>
      <w:r>
        <w:t xml:space="preserve">“Vladimir Zelensky”</w:t>
      </w:r>
      <w:r>
        <w:t xml:space="preserve"> </w:t>
      </w:r>
      <m:oMath>
        <m:r>
          <m:rPr>
            <m:sty m:val="p"/>
          </m:rPr>
          <m:t>=</m:t>
        </m:r>
      </m:oMath>
      <w:r>
        <w:t xml:space="preserve"> </w:t>
      </w:r>
      <w:r>
        <w:rPr>
          <w:i/>
          <w:iCs/>
        </w:rPr>
        <w:t xml:space="preserve">presidente, putin</w:t>
      </w:r>
      <w:r>
        <w:t xml:space="preserve">—foreign-language media framing him alongside Putin through a Russian lens.</w:t>
      </w:r>
      <w:r>
        <w:t xml:space="preserve"> </w:t>
      </w:r>
      <w:r>
        <w:t xml:space="preserve">“Volodymyr Zelenskyy”</w:t>
      </w:r>
      <w:r>
        <w:t xml:space="preserve"> </w:t>
      </w:r>
      <m:oMath>
        <m:r>
          <m:rPr>
            <m:sty m:val="p"/>
          </m:rPr>
          <m:t>=</m:t>
        </m:r>
      </m:oMath>
      <w:r>
        <w:t xml:space="preserve"> </w:t>
      </w:r>
      <w:r>
        <w:rPr>
          <w:i/>
          <w:iCs/>
        </w:rPr>
        <w:t xml:space="preserve">president, speeches, ukrainian</w:t>
      </w:r>
      <w:r>
        <w:t xml:space="preserve">—direct political agency. Sentiment: Russian form is significantly more negative (</w:t>
      </w:r>
      <m:oMath>
        <m:r>
          <m:rPr>
            <m:sty m:val="p"/>
          </m:rPr>
          <m:t>−</m:t>
        </m:r>
        <m:r>
          <m:t>0.12</m:t>
        </m:r>
      </m:oMath>
      <w:r>
        <w:t xml:space="preserve"> </w:t>
      </w:r>
      <w:r>
        <w:t xml:space="preserve">vs. </w:t>
      </w:r>
      <m:oMath>
        <m:r>
          <m:rPr>
            <m:sty m:val="p"/>
          </m:rPr>
          <m:t>−</m:t>
        </m:r>
        <m:r>
          <m:t>0.01</m:t>
        </m:r>
      </m:oMath>
      <w:r>
        <w:t xml:space="preserve">).</w:t>
      </w:r>
    </w:p>
    <w:p>
      <w:pPr>
        <w:pStyle w:val="BodyText"/>
      </w:pPr>
      <w:r>
        <w:rPr>
          <w:b/>
          <w:bCs/>
        </w:rPr>
        <w:t xml:space="preserve">Finding:</w:t>
      </w:r>
      <w:r>
        <w:t xml:space="preserve"> </w:t>
      </w:r>
      <w:r>
        <w:t xml:space="preserve">The first name is not just a spelling variant.</w:t>
      </w:r>
      <w:r>
        <w:t xml:space="preserve"> </w:t>
      </w:r>
      <w:r>
        <w:t xml:space="preserve">“Vladimir”</w:t>
      </w:r>
      <w:r>
        <w:t xml:space="preserve"> </w:t>
      </w:r>
      <w:r>
        <w:t xml:space="preserve">frames Zelenskyy as a Russian-adjacent figure;</w:t>
      </w:r>
      <w:r>
        <w:t xml:space="preserve"> </w:t>
      </w:r>
      <w:r>
        <w:t xml:space="preserve">“Volodymyr”</w:t>
      </w:r>
      <w:r>
        <w:t xml:space="preserve"> </w:t>
      </w:r>
      <w:r>
        <w:t xml:space="preserve">frames him as an independent Ukrainian leader.</w:t>
      </w:r>
    </w:p>
    <w:bookmarkEnd w:id="45"/>
    <w:bookmarkStart w:id="46" w:name="Xe4c65ca63dc3f5ff56d11ce6e1f2f5993450790"/>
    <w:p>
      <w:pPr>
        <w:pStyle w:val="Heading2"/>
      </w:pPr>
      <w:r>
        <w:t xml:space="preserve">Citation Inertia: Vladimir the Great</w:t>
      </w:r>
      <w:r>
        <w:t xml:space="preserve"> </w:t>
      </w:r>
      <m:oMath>
        <m:r>
          <m:rPr>
            <m:sty m:val="p"/>
          </m:rPr>
          <m:t>→</m:t>
        </m:r>
      </m:oMath>
      <w:r>
        <w:t xml:space="preserve"> </w:t>
      </w:r>
      <w:r>
        <w:t xml:space="preserve">Volodymyr the Great</w:t>
      </w:r>
    </w:p>
    <w:p>
      <w:pPr>
        <w:pStyle w:val="FirstParagraph"/>
      </w:pPr>
      <w:r>
        <w:t xml:space="preserve">Adoption: 4.8%. Only 11 Ukrainian-form texts out of 121. Academic context: 35% Russian vs. 9% Ukrainian. Collocates:</w:t>
      </w:r>
      <w:r>
        <w:t xml:space="preserve"> </w:t>
      </w:r>
      <w:r>
        <w:rPr>
          <w:i/>
          <w:iCs/>
        </w:rPr>
        <w:t xml:space="preserve">peter, putin, prince</w:t>
      </w:r>
      <w:r>
        <w:t xml:space="preserve"> </w:t>
      </w:r>
      <w:r>
        <w:t xml:space="preserve">(RU)—the medieval prince framed alongside Russian imperial identity.</w:t>
      </w:r>
    </w:p>
    <w:p>
      <w:pPr>
        <w:pStyle w:val="BodyText"/>
      </w:pPr>
      <w:r>
        <w:rPr>
          <w:b/>
          <w:bCs/>
        </w:rPr>
        <w:t xml:space="preserve">Finding:</w:t>
      </w:r>
      <w:r>
        <w:t xml:space="preserve"> </w:t>
      </w:r>
      <w:r>
        <w:t xml:space="preserve">Academic citation chains create path dependence. Papers citing older works that used</w:t>
      </w:r>
      <w:r>
        <w:t xml:space="preserve"> </w:t>
      </w:r>
      <w:r>
        <w:t xml:space="preserve">“Vladimir”</w:t>
      </w:r>
      <w:r>
        <w:t xml:space="preserve"> </w:t>
      </w:r>
      <w:r>
        <w:t xml:space="preserve">perpetuate the form. Historical identity naming is the campaign’s last frontier.</w:t>
      </w:r>
    </w:p>
    <w:bookmarkEnd w:id="46"/>
    <w:bookmarkStart w:id="47" w:name="X4c965d38b1589c76dfdfb28954f17447647a0f5"/>
    <w:p>
      <w:pPr>
        <w:pStyle w:val="Heading2"/>
      </w:pPr>
      <w:r>
        <w:t xml:space="preserve">Naming as Resistance: Artemovsk</w:t>
      </w:r>
      <w:r>
        <w:t xml:space="preserve"> </w:t>
      </w:r>
      <m:oMath>
        <m:r>
          <m:rPr>
            <m:sty m:val="p"/>
          </m:rPr>
          <m:t>→</m:t>
        </m:r>
      </m:oMath>
      <w:r>
        <w:t xml:space="preserve"> </w:t>
      </w:r>
      <w:r>
        <w:t xml:space="preserve">Bakhmut</w:t>
      </w:r>
    </w:p>
    <w:p>
      <w:pPr>
        <w:pStyle w:val="FirstParagraph"/>
      </w:pPr>
      <w:r>
        <w:t xml:space="preserve">Adoption: 89.6%. The highest. War context: 66% (UA) vs. 52% (RU). Both deeply negative sentiment (</w:t>
      </w:r>
      <m:oMath>
        <m:r>
          <m:rPr>
            <m:sty m:val="p"/>
          </m:rPr>
          <m:t>−</m:t>
        </m:r>
        <m:r>
          <m:t>0.31</m:t>
        </m:r>
      </m:oMath>
      <w:r>
        <w:t xml:space="preserve"> </w:t>
      </w:r>
      <w:r>
        <w:t xml:space="preserve">and</w:t>
      </w:r>
      <w:r>
        <w:t xml:space="preserve"> </w:t>
      </w:r>
      <m:oMath>
        <m:r>
          <m:rPr>
            <m:sty m:val="p"/>
          </m:rPr>
          <m:t>−</m:t>
        </m:r>
        <m:r>
          <m:t>0.24</m:t>
        </m:r>
      </m:oMath>
      <w:r>
        <w:t xml:space="preserve">). Russia attempted to rename the city</w:t>
      </w:r>
      <w:r>
        <w:t xml:space="preserve"> </w:t>
      </w:r>
      <w:r>
        <w:t xml:space="preserve">“Artemovsk”</w:t>
      </w:r>
      <w:r>
        <w:t xml:space="preserve"> </w:t>
      </w:r>
      <w:r>
        <w:t xml:space="preserve">during occupation; the world overwhelmingly chose Ukraine’s name.</w:t>
      </w:r>
    </w:p>
    <w:p>
      <w:pPr>
        <w:pStyle w:val="BodyText"/>
      </w:pPr>
      <w:r>
        <w:rPr>
          <w:b/>
          <w:bCs/>
        </w:rPr>
        <w:t xml:space="preserve">Finding:</w:t>
      </w:r>
      <w:r>
        <w:t xml:space="preserve"> </w:t>
      </w:r>
      <w:r>
        <w:t xml:space="preserve">When naming</w:t>
      </w:r>
      <w:r>
        <w:t xml:space="preserve"> </w:t>
      </w:r>
      <w:r>
        <w:rPr>
          <w:i/>
          <w:iCs/>
        </w:rPr>
        <w:t xml:space="preserve">is</w:t>
      </w:r>
      <w:r>
        <w:t xml:space="preserve"> </w:t>
      </w:r>
      <w:r>
        <w:t xml:space="preserve">the political act, adoption is near-total. Using</w:t>
      </w:r>
      <w:r>
        <w:t xml:space="preserve"> </w:t>
      </w:r>
      <w:r>
        <w:t xml:space="preserve">“Artemovsk”</w:t>
      </w:r>
      <w:r>
        <w:t xml:space="preserve"> </w:t>
      </w:r>
      <w:r>
        <w:t xml:space="preserve">would mean accepting Russia’s occupation narrative.</w:t>
      </w:r>
    </w:p>
    <w:bookmarkEnd w:id="47"/>
    <w:bookmarkEnd w:id="48"/>
    <w:bookmarkStart w:id="55" w:name="sec:benchmark"/>
    <w:p>
      <w:pPr>
        <w:pStyle w:val="Heading1"/>
      </w:pPr>
      <w:r>
        <w:t xml:space="preserve">Encoder Benchmark</w:t>
      </w:r>
    </w:p>
    <w:bookmarkStart w:id="50" w:name="models"/>
    <w:p>
      <w:pPr>
        <w:pStyle w:val="Heading2"/>
      </w:pPr>
      <w:r>
        <w:t xml:space="preserve">Models</w:t>
      </w:r>
    </w:p>
    <w:p>
      <w:pPr>
        <w:pStyle w:val="FirstParagraph"/>
      </w:pPr>
      <w:r>
        <w:t xml:space="preserve">We fine-tune three encoder models on the LLM-annotated labels (Table </w:t>
      </w:r>
      <w:hyperlink w:anchor="tab:benchmark">
        <w:r>
          <w:rPr>
            <w:rStyle w:val="Hyperlink"/>
          </w:rPr>
          <w:t xml:space="preserve">6</w:t>
        </w:r>
      </w:hyperlink>
      <w:r>
        <w:t xml:space="preserve">).</w:t>
      </w:r>
    </w:p>
    <w:bookmarkStart w:id="49" w:name="tab:benchmark"/>
    <w:p>
      <w:pPr>
        <w:pStyle w:val="TableCaption"/>
      </w:pPr>
      <w:r>
        <w:t xml:space="preserve">Encoder benchmark on 10-class context classification (test set,</w:t>
      </w:r>
      <w:r>
        <w:t xml:space="preserve"> </w:t>
      </w:r>
      <m:oMath>
        <m:r>
          <m:t>n</m:t>
        </m:r>
        <m:r>
          <m:rPr>
            <m:sty m:val="p"/>
          </m:rPr>
          <m:t>=</m:t>
        </m:r>
        <m:r>
          <m:t>2</m:t>
        </m:r>
        <m:r>
          <m:rPr>
            <m:sty m:val="p"/>
          </m:rPr>
          <m:t>,</m:t>
        </m:r>
        <m:r>
          <m:t>991</m:t>
        </m:r>
      </m:oMath>
      <w:r>
        <w:t xml:space="preserve">).</w:t>
      </w:r>
    </w:p>
    <w:tbl>
      <w:tblPr>
        <w:tblStyle w:val="Table"/>
        <w:tblW w:type="auto" w:w="0"/>
        <w:tblLook w:firstRow="1" w:lastRow="0" w:firstColumn="0" w:lastColumn="0" w:noHBand="0" w:noVBand="0" w:val="0020"/>
        <w:tblCaption w:val="Encoder benchmark on 10-class context classification (test set, n = 2{,}991)."/>
      </w:tblPr>
      <w:tblGrid>
        <w:gridCol w:w="1980"/>
        <w:gridCol w:w="1980"/>
        <w:gridCol w:w="1980"/>
        <w:gridCol w:w="1980"/>
      </w:tblGrid>
      <w:tr>
        <w:trPr>
          <w:tblHeader w:val="on"/>
        </w:trPr>
        <w:tc>
          <w:tcPr/>
          <w:p>
            <w:pPr>
              <w:pStyle w:val="Compact"/>
              <w:jc w:val="left"/>
            </w:pPr>
            <w:r>
              <w:rPr>
                <w:b/>
                <w:bCs/>
              </w:rPr>
              <w:t xml:space="preserve">Model</w:t>
            </w:r>
          </w:p>
        </w:tc>
        <w:tc>
          <w:tcPr/>
          <w:p>
            <w:pPr>
              <w:pStyle w:val="Compact"/>
              <w:jc w:val="right"/>
            </w:pPr>
            <w:r>
              <w:rPr>
                <w:b/>
                <w:bCs/>
              </w:rPr>
              <w:t xml:space="preserve">Params</w:t>
            </w:r>
          </w:p>
        </w:tc>
        <w:tc>
          <w:tcPr/>
          <w:p>
            <w:pPr>
              <w:pStyle w:val="Compact"/>
              <w:jc w:val="right"/>
            </w:pPr>
            <m:oMath>
              <m:sSub>
                <m:e>
                  <m:r>
                    <m:t>F</m:t>
                  </m:r>
                </m:e>
                <m:sub>
                  <m:r>
                    <m:t>1</m:t>
                  </m:r>
                </m:sub>
              </m:sSub>
            </m:oMath>
            <w:r>
              <w:rPr>
                <w:b/>
                <w:bCs/>
              </w:rPr>
              <w:t xml:space="preserve"> </w:t>
            </w:r>
            <w:r>
              <w:rPr>
                <w:b/>
                <w:bCs/>
              </w:rPr>
              <w:t xml:space="preserve">(macro)</w:t>
            </w:r>
          </w:p>
        </w:tc>
        <w:tc>
          <w:tcPr/>
          <w:p>
            <w:pPr>
              <w:pStyle w:val="Compact"/>
              <w:jc w:val="right"/>
            </w:pPr>
            <w:r>
              <w:rPr>
                <w:b/>
                <w:bCs/>
              </w:rPr>
              <w:t xml:space="preserve">Accuracy</w:t>
            </w:r>
          </w:p>
        </w:tc>
      </w:tr>
      <w:tr>
        <w:tc>
          <w:tcPr/>
          <w:p>
            <w:pPr>
              <w:pStyle w:val="Compact"/>
              <w:jc w:val="left"/>
            </w:pPr>
            <w:r>
              <w:t xml:space="preserve">DeBERTa-v3-large</w:t>
            </w:r>
          </w:p>
        </w:tc>
        <w:tc>
          <w:tcPr/>
          <w:p>
            <w:pPr>
              <w:pStyle w:val="Compact"/>
              <w:jc w:val="right"/>
            </w:pPr>
            <w:r>
              <w:t xml:space="preserve">304M</w:t>
            </w:r>
          </w:p>
        </w:tc>
        <w:tc>
          <w:tcPr/>
          <w:p>
            <w:pPr>
              <w:pStyle w:val="Compact"/>
              <w:jc w:val="right"/>
            </w:pPr>
            <w:r>
              <w:rPr>
                <w:b/>
                <w:bCs/>
              </w:rPr>
              <w:t xml:space="preserve">88.8%</w:t>
            </w:r>
          </w:p>
        </w:tc>
        <w:tc>
          <w:tcPr/>
          <w:p>
            <w:pPr>
              <w:pStyle w:val="Compact"/>
              <w:jc w:val="right"/>
            </w:pPr>
            <w:r>
              <w:rPr>
                <w:b/>
                <w:bCs/>
              </w:rPr>
              <w:t xml:space="preserve">90.1%</w:t>
            </w:r>
          </w:p>
        </w:tc>
      </w:tr>
      <w:tr>
        <w:tc>
          <w:tcPr/>
          <w:p>
            <w:pPr>
              <w:pStyle w:val="Compact"/>
              <w:jc w:val="left"/>
            </w:pPr>
            <w:r>
              <w:t xml:space="preserve">XLM-RoBERTa-large</w:t>
            </w:r>
          </w:p>
        </w:tc>
        <w:tc>
          <w:tcPr/>
          <w:p>
            <w:pPr>
              <w:pStyle w:val="Compact"/>
              <w:jc w:val="right"/>
            </w:pPr>
            <w:r>
              <w:t xml:space="preserve">550M</w:t>
            </w:r>
          </w:p>
        </w:tc>
        <w:tc>
          <w:tcPr/>
          <w:p>
            <w:pPr>
              <w:pStyle w:val="Compact"/>
              <w:jc w:val="right"/>
            </w:pPr>
            <w:r>
              <w:t xml:space="preserve">87.3%</w:t>
            </w:r>
          </w:p>
        </w:tc>
        <w:tc>
          <w:tcPr/>
          <w:p>
            <w:pPr>
              <w:pStyle w:val="Compact"/>
              <w:jc w:val="right"/>
            </w:pPr>
            <w:r>
              <w:t xml:space="preserve">89.4%</w:t>
            </w:r>
          </w:p>
        </w:tc>
      </w:tr>
      <w:tr>
        <w:tc>
          <w:tcPr/>
          <w:p>
            <w:pPr>
              <w:pStyle w:val="Compact"/>
              <w:jc w:val="left"/>
            </w:pPr>
            <w:r>
              <w:t xml:space="preserve">mDeBERTa-v3-base</w:t>
            </w:r>
          </w:p>
        </w:tc>
        <w:tc>
          <w:tcPr/>
          <w:p>
            <w:pPr>
              <w:pStyle w:val="Compact"/>
              <w:jc w:val="right"/>
            </w:pPr>
            <w:r>
              <w:t xml:space="preserve">86M</w:t>
            </w:r>
          </w:p>
        </w:tc>
        <w:tc>
          <w:tcPr/>
          <w:p>
            <w:pPr>
              <w:pStyle w:val="Compact"/>
              <w:jc w:val="right"/>
            </w:pPr>
            <w:r>
              <w:t xml:space="preserve">86.2%</w:t>
            </w:r>
          </w:p>
        </w:tc>
        <w:tc>
          <w:tcPr/>
          <w:p>
            <w:pPr>
              <w:pStyle w:val="Compact"/>
              <w:jc w:val="right"/>
            </w:pPr>
            <w:r>
              <w:t xml:space="preserve">88.7%</w:t>
            </w:r>
          </w:p>
        </w:tc>
      </w:tr>
    </w:tbl>
    <w:bookmarkEnd w:id="49"/>
    <w:p>
      <w:pPr>
        <w:pStyle w:val="BodyText"/>
      </w:pPr>
      <w:r>
        <w:t xml:space="preserve">All models are trained with identical hyperparameters: AdamW optimizer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 learning rate</w:t>
      </w:r>
      <w:r>
        <w:t xml:space="preserve"> </w:t>
      </w:r>
      <m:oMath>
        <m:sSup>
          <m:e>
            <m:r>
              <m:t>10</m:t>
            </m:r>
          </m:e>
          <m:sup>
            <m:r>
              <m:rPr>
                <m:sty m:val="p"/>
              </m:rPr>
              <m:t>−</m:t>
            </m:r>
            <m:r>
              <m:t>5</m:t>
            </m:r>
          </m:sup>
        </m:sSup>
      </m:oMath>
      <w:r>
        <w:t xml:space="preserve"> </w:t>
      </w:r>
      <w:r>
        <w:t xml:space="preserve">(validated via grid search), warmup 10%, weight decay 0.01, batch size 16, max length 512 tokens, BF16 precision, 3 epochs. Model selection by best validation</w:t>
      </w:r>
      <w:r>
        <w:t xml:space="preserve"> </w:t>
      </w:r>
      <m:oMath>
        <m:sSub>
          <m:e>
            <m:r>
              <m:t>F</m:t>
            </m:r>
          </m:e>
          <m:sub>
            <m:r>
              <m:t>1</m:t>
            </m:r>
          </m:sub>
        </m:sSub>
      </m:oMath>
      <w:r>
        <w:t xml:space="preserve">-macro.</w:t>
      </w:r>
    </w:p>
    <w:bookmarkEnd w:id="50"/>
    <w:bookmarkStart w:id="52" w:name="robustness-analysis"/>
    <w:p>
      <w:pPr>
        <w:pStyle w:val="Heading2"/>
      </w:pPr>
      <w:r>
        <w:t xml:space="preserve">Robustness Analysis</w:t>
      </w:r>
    </w:p>
    <w:p>
      <w:pPr>
        <w:pStyle w:val="FirstParagraph"/>
      </w:pPr>
      <w:r>
        <w:t xml:space="preserve">Table </w:t>
      </w:r>
      <w:hyperlink w:anchor="tab:robustness">
        <w:r>
          <w:rPr>
            <w:rStyle w:val="Hyperlink"/>
          </w:rPr>
          <w:t xml:space="preserve">7</w:t>
        </w:r>
      </w:hyperlink>
      <w:r>
        <w:t xml:space="preserve"> </w:t>
      </w:r>
      <w:r>
        <w:t xml:space="preserve">reports 9 experiments varying seeds, learning rates, confidence thresholds, and training epochs.</w:t>
      </w:r>
    </w:p>
    <w:bookmarkStart w:id="51" w:name="tab:robustness"/>
    <w:p>
      <w:pPr>
        <w:pStyle w:val="TableCaption"/>
      </w:pPr>
      <w:r>
        <w:t xml:space="preserve">Robustness analysis (DeBERTa-v3-large). Bold: best configuration.</w:t>
      </w:r>
    </w:p>
    <w:tbl>
      <w:tblPr>
        <w:tblStyle w:val="Table"/>
        <w:tblW w:type="auto" w:w="0"/>
        <w:tblLook w:firstRow="1" w:lastRow="0" w:firstColumn="0" w:lastColumn="0" w:noHBand="0" w:noVBand="0" w:val="0020"/>
        <w:tblCaption w:val="Robustness analysis (DeBERTa-v3-large). Bold: best configuration."/>
      </w:tblPr>
      <w:tblGrid>
        <w:gridCol w:w="1320"/>
        <w:gridCol w:w="1320"/>
        <w:gridCol w:w="1320"/>
        <w:gridCol w:w="1320"/>
        <w:gridCol w:w="1320"/>
        <w:gridCol w:w="1320"/>
      </w:tblGrid>
      <w:tr>
        <w:trPr>
          <w:tblHeader w:val="on"/>
        </w:trPr>
        <w:tc>
          <w:tcPr/>
          <w:p>
            <w:pPr>
              <w:pStyle w:val="Compact"/>
              <w:jc w:val="left"/>
            </w:pPr>
            <w:r>
              <w:rPr>
                <w:b/>
                <w:bCs/>
              </w:rPr>
              <w:t xml:space="preserve">Exp.</w:t>
            </w:r>
          </w:p>
        </w:tc>
        <w:tc>
          <w:tcPr/>
          <w:p>
            <w:pPr>
              <w:pStyle w:val="Compact"/>
              <w:jc w:val="center"/>
            </w:pPr>
            <w:r>
              <w:rPr>
                <w:b/>
                <w:bCs/>
              </w:rPr>
              <w:t xml:space="preserve">Seed</w:t>
            </w:r>
          </w:p>
        </w:tc>
        <w:tc>
          <w:tcPr/>
          <w:p>
            <w:pPr>
              <w:pStyle w:val="Compact"/>
              <w:jc w:val="center"/>
            </w:pPr>
            <w:r>
              <w:rPr>
                <w:b/>
                <w:bCs/>
              </w:rPr>
              <w:t xml:space="preserve">LR</w:t>
            </w:r>
          </w:p>
        </w:tc>
        <w:tc>
          <w:tcPr/>
          <w:p>
            <w:pPr>
              <w:pStyle w:val="Compact"/>
              <w:jc w:val="center"/>
            </w:pPr>
            <w:r>
              <w:rPr>
                <w:b/>
                <w:bCs/>
              </w:rPr>
              <w:t xml:space="preserve">Conf.</w:t>
            </w:r>
          </w:p>
        </w:tc>
        <w:tc>
          <w:tcPr/>
          <w:p>
            <w:pPr>
              <w:pStyle w:val="Compact"/>
              <w:jc w:val="center"/>
            </w:pPr>
            <w:r>
              <w:rPr>
                <w:b/>
                <w:bCs/>
              </w:rPr>
              <w:t xml:space="preserve">Ep.</w:t>
            </w:r>
          </w:p>
        </w:tc>
        <w:tc>
          <w:tcPr/>
          <w:p>
            <w:pPr>
              <w:pStyle w:val="Compact"/>
              <w:jc w:val="center"/>
            </w:pPr>
            <m:oMath>
              <m:sSub>
                <m:e>
                  <m:r>
                    <m:t>F</m:t>
                  </m:r>
                </m:e>
                <m:sub>
                  <m:r>
                    <m:t>1</m:t>
                  </m:r>
                </m:sub>
              </m:sSub>
            </m:oMath>
          </w:p>
        </w:tc>
      </w:tr>
      <w:tr>
        <w:tc>
          <w:tcPr/>
          <w:p>
            <w:pPr>
              <w:pStyle w:val="Compact"/>
              <w:jc w:val="left"/>
            </w:pPr>
            <w:r>
              <w:t xml:space="preserve">seed_42</w:t>
            </w:r>
          </w:p>
        </w:tc>
        <w:tc>
          <w:tcPr/>
          <w:p>
            <w:pPr>
              <w:pStyle w:val="Compact"/>
              <w:jc w:val="center"/>
            </w:pPr>
            <w:r>
              <w:t xml:space="preserve">42</w:t>
            </w:r>
          </w:p>
        </w:tc>
        <w:tc>
          <w:tcPr/>
          <w:p>
            <w:pPr>
              <w:pStyle w:val="Compact"/>
              <w:jc w:val="center"/>
            </w:pPr>
            <w:r>
              <w:t xml:space="preserve">2e-5</w:t>
            </w:r>
          </w:p>
        </w:tc>
        <w:tc>
          <w:tcPr/>
          <w:p>
            <w:pPr>
              <w:pStyle w:val="Compact"/>
              <w:jc w:val="center"/>
            </w:pPr>
            <w:r>
              <w:t xml:space="preserve">0.6</w:t>
            </w:r>
          </w:p>
        </w:tc>
        <w:tc>
          <w:tcPr/>
          <w:p>
            <w:pPr>
              <w:pStyle w:val="Compact"/>
              <w:jc w:val="center"/>
            </w:pPr>
            <w:r>
              <w:t xml:space="preserve">3</w:t>
            </w:r>
          </w:p>
        </w:tc>
        <w:tc>
          <w:tcPr/>
          <w:p>
            <w:pPr>
              <w:pStyle w:val="Compact"/>
              <w:jc w:val="center"/>
            </w:pPr>
            <w:r>
              <w:t xml:space="preserve">87.5</w:t>
            </w:r>
          </w:p>
        </w:tc>
      </w:tr>
      <w:tr>
        <w:tc>
          <w:tcPr/>
          <w:p>
            <w:pPr>
              <w:pStyle w:val="Compact"/>
              <w:jc w:val="left"/>
            </w:pPr>
            <w:r>
              <w:t xml:space="preserve">seed_123</w:t>
            </w:r>
          </w:p>
        </w:tc>
        <w:tc>
          <w:tcPr/>
          <w:p>
            <w:pPr>
              <w:pStyle w:val="Compact"/>
              <w:jc w:val="center"/>
            </w:pPr>
            <w:r>
              <w:t xml:space="preserve">123</w:t>
            </w:r>
          </w:p>
        </w:tc>
        <w:tc>
          <w:tcPr/>
          <w:p>
            <w:pPr>
              <w:pStyle w:val="Compact"/>
              <w:jc w:val="center"/>
            </w:pPr>
            <w:r>
              <w:t xml:space="preserve">2e-5</w:t>
            </w:r>
          </w:p>
        </w:tc>
        <w:tc>
          <w:tcPr/>
          <w:p>
            <w:pPr>
              <w:pStyle w:val="Compact"/>
              <w:jc w:val="center"/>
            </w:pPr>
            <w:r>
              <w:t xml:space="preserve">0.6</w:t>
            </w:r>
          </w:p>
        </w:tc>
        <w:tc>
          <w:tcPr/>
          <w:p>
            <w:pPr>
              <w:pStyle w:val="Compact"/>
              <w:jc w:val="center"/>
            </w:pPr>
            <w:r>
              <w:t xml:space="preserve">3</w:t>
            </w:r>
          </w:p>
        </w:tc>
        <w:tc>
          <w:tcPr/>
          <w:p>
            <w:pPr>
              <w:pStyle w:val="Compact"/>
              <w:jc w:val="center"/>
            </w:pPr>
            <w:r>
              <w:t xml:space="preserve">87.4</w:t>
            </w:r>
          </w:p>
        </w:tc>
      </w:tr>
      <w:tr>
        <w:tc>
          <w:tcPr/>
          <w:p>
            <w:pPr>
              <w:pStyle w:val="Compact"/>
              <w:jc w:val="left"/>
            </w:pPr>
            <w:r>
              <w:t xml:space="preserve">seed_456</w:t>
            </w:r>
          </w:p>
        </w:tc>
        <w:tc>
          <w:tcPr/>
          <w:p>
            <w:pPr>
              <w:pStyle w:val="Compact"/>
              <w:jc w:val="center"/>
            </w:pPr>
            <w:r>
              <w:t xml:space="preserve">456</w:t>
            </w:r>
          </w:p>
        </w:tc>
        <w:tc>
          <w:tcPr/>
          <w:p>
            <w:pPr>
              <w:pStyle w:val="Compact"/>
              <w:jc w:val="center"/>
            </w:pPr>
            <w:r>
              <w:t xml:space="preserve">2e-5</w:t>
            </w:r>
          </w:p>
        </w:tc>
        <w:tc>
          <w:tcPr/>
          <w:p>
            <w:pPr>
              <w:pStyle w:val="Compact"/>
              <w:jc w:val="center"/>
            </w:pPr>
            <w:r>
              <w:t xml:space="preserve">0.6</w:t>
            </w:r>
          </w:p>
        </w:tc>
        <w:tc>
          <w:tcPr/>
          <w:p>
            <w:pPr>
              <w:pStyle w:val="Compact"/>
              <w:jc w:val="center"/>
            </w:pPr>
            <w:r>
              <w:t xml:space="preserve">3</w:t>
            </w:r>
          </w:p>
        </w:tc>
        <w:tc>
          <w:tcPr/>
          <w:p>
            <w:pPr>
              <w:pStyle w:val="Compact"/>
              <w:jc w:val="center"/>
            </w:pPr>
            <w:r>
              <w:t xml:space="preserve">88.2</w:t>
            </w:r>
          </w:p>
        </w:tc>
      </w:tr>
      <w:tr>
        <w:tc>
          <w:tcPr>
            <w:gridSpan w:val="5"/>
          </w:tcPr>
          <w:p>
            <w:pPr>
              <w:pStyle w:val="Compact"/>
              <w:jc w:val="left"/>
            </w:pPr>
            <w:r>
              <w:rPr>
                <w:i/>
                <w:iCs/>
              </w:rPr>
              <w:t xml:space="preserve">Seed stability:</w:t>
            </w:r>
            <w:r>
              <w:rPr>
                <w:i/>
                <w:iCs/>
              </w:rPr>
              <w:t xml:space="preserve"> </w:t>
            </w:r>
            <m:oMath>
              <m:r>
                <m:t>μ</m:t>
              </m:r>
              <m:r>
                <m:rPr>
                  <m:sty m:val="p"/>
                </m:rPr>
                <m:t>=</m:t>
              </m:r>
              <m:r>
                <m:t>87.7</m:t>
              </m:r>
              <m:r>
                <m:rPr>
                  <m:sty m:val="p"/>
                </m:rPr>
                <m:t>%</m:t>
              </m:r>
            </m:oMath>
            <w:r>
              <w:rPr>
                <w:i/>
                <w:iCs/>
              </w:rPr>
              <w:t xml:space="preserve">,</w:t>
            </w:r>
            <w:r>
              <w:rPr>
                <w:i/>
                <w:iCs/>
              </w:rPr>
              <w:t xml:space="preserve"> </w:t>
            </w:r>
            <m:oMath>
              <m:r>
                <m:t>σ</m:t>
              </m:r>
              <m:r>
                <m:rPr>
                  <m:sty m:val="p"/>
                </m:rPr>
                <m:t>=</m:t>
              </m:r>
              <m:r>
                <m:t>0.34</m:t>
              </m:r>
            </m:oMath>
            <w:r>
              <w:rPr>
                <w:i/>
                <w:iCs/>
              </w:rPr>
              <w:t xml:space="preserve">pp</w:t>
            </w:r>
          </w:p>
        </w:tc>
        <w:tc>
          <w:tcPr/>
          <w:p>
            <w:pPr>
              <w:pStyle w:val="Compact"/>
            </w:pPr>
          </w:p>
        </w:tc>
      </w:tr>
      <w:tr>
        <w:tc>
          <w:tcPr/>
          <w:p>
            <w:pPr>
              <w:pStyle w:val="Compact"/>
              <w:jc w:val="left"/>
            </w:pPr>
            <w:r>
              <w:rPr>
                <w:b/>
                <w:bCs/>
              </w:rPr>
              <w:t xml:space="preserve">lr_1e-5</w:t>
            </w:r>
          </w:p>
        </w:tc>
        <w:tc>
          <w:tcPr/>
          <w:p>
            <w:pPr>
              <w:pStyle w:val="Compact"/>
              <w:jc w:val="center"/>
            </w:pPr>
            <w:r>
              <w:rPr>
                <w:b/>
                <w:bCs/>
              </w:rPr>
              <w:t xml:space="preserve">42</w:t>
            </w:r>
          </w:p>
        </w:tc>
        <w:tc>
          <w:tcPr/>
          <w:p>
            <w:pPr>
              <w:pStyle w:val="Compact"/>
              <w:jc w:val="center"/>
            </w:pPr>
            <w:r>
              <w:rPr>
                <w:b/>
                <w:bCs/>
              </w:rPr>
              <w:t xml:space="preserve">1e-5</w:t>
            </w:r>
          </w:p>
        </w:tc>
        <w:tc>
          <w:tcPr/>
          <w:p>
            <w:pPr>
              <w:pStyle w:val="Compact"/>
              <w:jc w:val="center"/>
            </w:pPr>
            <w:r>
              <w:rPr>
                <w:b/>
                <w:bCs/>
              </w:rPr>
              <w:t xml:space="preserve">0.6</w:t>
            </w:r>
          </w:p>
        </w:tc>
        <w:tc>
          <w:tcPr/>
          <w:p>
            <w:pPr>
              <w:pStyle w:val="Compact"/>
              <w:jc w:val="center"/>
            </w:pPr>
            <w:r>
              <w:rPr>
                <w:b/>
                <w:bCs/>
              </w:rPr>
              <w:t xml:space="preserve">3</w:t>
            </w:r>
          </w:p>
        </w:tc>
        <w:tc>
          <w:tcPr/>
          <w:p>
            <w:pPr>
              <w:pStyle w:val="Compact"/>
              <w:jc w:val="center"/>
            </w:pPr>
            <w:r>
              <w:rPr>
                <w:b/>
                <w:bCs/>
              </w:rPr>
              <w:t xml:space="preserve">88.8</w:t>
            </w:r>
          </w:p>
        </w:tc>
      </w:tr>
      <w:tr>
        <w:tc>
          <w:tcPr/>
          <w:p>
            <w:pPr>
              <w:pStyle w:val="Compact"/>
              <w:jc w:val="left"/>
            </w:pPr>
            <w:r>
              <w:t xml:space="preserve">lr_3e-5</w:t>
            </w:r>
          </w:p>
        </w:tc>
        <w:tc>
          <w:tcPr/>
          <w:p>
            <w:pPr>
              <w:pStyle w:val="Compact"/>
              <w:jc w:val="center"/>
            </w:pPr>
            <w:r>
              <w:t xml:space="preserve">42</w:t>
            </w:r>
          </w:p>
        </w:tc>
        <w:tc>
          <w:tcPr/>
          <w:p>
            <w:pPr>
              <w:pStyle w:val="Compact"/>
              <w:jc w:val="center"/>
            </w:pPr>
            <w:r>
              <w:t xml:space="preserve">3e-5</w:t>
            </w:r>
          </w:p>
        </w:tc>
        <w:tc>
          <w:tcPr/>
          <w:p>
            <w:pPr>
              <w:pStyle w:val="Compact"/>
              <w:jc w:val="center"/>
            </w:pPr>
            <w:r>
              <w:t xml:space="preserve">0.6</w:t>
            </w:r>
          </w:p>
        </w:tc>
        <w:tc>
          <w:tcPr/>
          <w:p>
            <w:pPr>
              <w:pStyle w:val="Compact"/>
              <w:jc w:val="center"/>
            </w:pPr>
            <w:r>
              <w:t xml:space="preserve">3</w:t>
            </w:r>
          </w:p>
        </w:tc>
        <w:tc>
          <w:tcPr/>
          <w:p>
            <w:pPr>
              <w:pStyle w:val="Compact"/>
              <w:jc w:val="center"/>
            </w:pPr>
            <w:r>
              <w:t xml:space="preserve">87.2</w:t>
            </w:r>
          </w:p>
        </w:tc>
      </w:tr>
      <w:tr>
        <w:tc>
          <w:tcPr/>
          <w:p>
            <w:pPr>
              <w:pStyle w:val="Compact"/>
              <w:jc w:val="left"/>
            </w:pPr>
            <w:r>
              <w:t xml:space="preserve">conf_0.5</w:t>
            </w:r>
          </w:p>
        </w:tc>
        <w:tc>
          <w:tcPr/>
          <w:p>
            <w:pPr>
              <w:pStyle w:val="Compact"/>
              <w:jc w:val="center"/>
            </w:pPr>
            <w:r>
              <w:t xml:space="preserve">42</w:t>
            </w:r>
          </w:p>
        </w:tc>
        <w:tc>
          <w:tcPr/>
          <w:p>
            <w:pPr>
              <w:pStyle w:val="Compact"/>
              <w:jc w:val="center"/>
            </w:pPr>
            <w:r>
              <w:t xml:space="preserve">2e-5</w:t>
            </w:r>
          </w:p>
        </w:tc>
        <w:tc>
          <w:tcPr/>
          <w:p>
            <w:pPr>
              <w:pStyle w:val="Compact"/>
              <w:jc w:val="center"/>
            </w:pPr>
            <w:r>
              <w:t xml:space="preserve">0.5</w:t>
            </w:r>
          </w:p>
        </w:tc>
        <w:tc>
          <w:tcPr/>
          <w:p>
            <w:pPr>
              <w:pStyle w:val="Compact"/>
              <w:jc w:val="center"/>
            </w:pPr>
            <w:r>
              <w:t xml:space="preserve">3</w:t>
            </w:r>
          </w:p>
        </w:tc>
        <w:tc>
          <w:tcPr/>
          <w:p>
            <w:pPr>
              <w:pStyle w:val="Compact"/>
              <w:jc w:val="center"/>
            </w:pPr>
            <w:r>
              <w:t xml:space="preserve">87.8</w:t>
            </w:r>
          </w:p>
        </w:tc>
      </w:tr>
      <w:tr>
        <w:tc>
          <w:tcPr/>
          <w:p>
            <w:pPr>
              <w:pStyle w:val="Compact"/>
              <w:jc w:val="left"/>
            </w:pPr>
            <w:r>
              <w:t xml:space="preserve">conf_0.8</w:t>
            </w:r>
          </w:p>
        </w:tc>
        <w:tc>
          <w:tcPr/>
          <w:p>
            <w:pPr>
              <w:pStyle w:val="Compact"/>
              <w:jc w:val="center"/>
            </w:pPr>
            <w:r>
              <w:t xml:space="preserve">42</w:t>
            </w:r>
          </w:p>
        </w:tc>
        <w:tc>
          <w:tcPr/>
          <w:p>
            <w:pPr>
              <w:pStyle w:val="Compact"/>
              <w:jc w:val="center"/>
            </w:pPr>
            <w:r>
              <w:t xml:space="preserve">2e-5</w:t>
            </w:r>
          </w:p>
        </w:tc>
        <w:tc>
          <w:tcPr/>
          <w:p>
            <w:pPr>
              <w:pStyle w:val="Compact"/>
              <w:jc w:val="center"/>
            </w:pPr>
            <w:r>
              <w:t xml:space="preserve">0.8</w:t>
            </w:r>
          </w:p>
        </w:tc>
        <w:tc>
          <w:tcPr/>
          <w:p>
            <w:pPr>
              <w:pStyle w:val="Compact"/>
              <w:jc w:val="center"/>
            </w:pPr>
            <w:r>
              <w:t xml:space="preserve">3</w:t>
            </w:r>
          </w:p>
        </w:tc>
        <w:tc>
          <w:tcPr/>
          <w:p>
            <w:pPr>
              <w:pStyle w:val="Compact"/>
              <w:jc w:val="center"/>
            </w:pPr>
            <w:r>
              <w:t xml:space="preserve">87.4</w:t>
            </w:r>
          </w:p>
        </w:tc>
      </w:tr>
      <w:tr>
        <w:tc>
          <w:tcPr/>
          <w:p>
            <w:pPr>
              <w:pStyle w:val="Compact"/>
              <w:jc w:val="left"/>
            </w:pPr>
            <w:r>
              <w:t xml:space="preserve">epochs_5</w:t>
            </w:r>
          </w:p>
        </w:tc>
        <w:tc>
          <w:tcPr/>
          <w:p>
            <w:pPr>
              <w:pStyle w:val="Compact"/>
              <w:jc w:val="center"/>
            </w:pPr>
            <w:r>
              <w:t xml:space="preserve">42</w:t>
            </w:r>
          </w:p>
        </w:tc>
        <w:tc>
          <w:tcPr/>
          <w:p>
            <w:pPr>
              <w:pStyle w:val="Compact"/>
              <w:jc w:val="center"/>
            </w:pPr>
            <w:r>
              <w:t xml:space="preserve">2e-5</w:t>
            </w:r>
          </w:p>
        </w:tc>
        <w:tc>
          <w:tcPr/>
          <w:p>
            <w:pPr>
              <w:pStyle w:val="Compact"/>
              <w:jc w:val="center"/>
            </w:pPr>
            <w:r>
              <w:t xml:space="preserve">0.6</w:t>
            </w:r>
          </w:p>
        </w:tc>
        <w:tc>
          <w:tcPr/>
          <w:p>
            <w:pPr>
              <w:pStyle w:val="Compact"/>
              <w:jc w:val="center"/>
            </w:pPr>
            <w:r>
              <w:t xml:space="preserve">5</w:t>
            </w:r>
          </w:p>
        </w:tc>
        <w:tc>
          <w:tcPr/>
          <w:p>
            <w:pPr>
              <w:pStyle w:val="Compact"/>
              <w:jc w:val="center"/>
            </w:pPr>
            <w:r>
              <w:t xml:space="preserve">87.3</w:t>
            </w:r>
          </w:p>
        </w:tc>
      </w:tr>
      <w:tr>
        <w:tc>
          <w:tcPr/>
          <w:p>
            <w:pPr>
              <w:pStyle w:val="Compact"/>
              <w:jc w:val="left"/>
            </w:pPr>
            <w:r>
              <w:t xml:space="preserve">epochs_7</w:t>
            </w:r>
          </w:p>
        </w:tc>
        <w:tc>
          <w:tcPr/>
          <w:p>
            <w:pPr>
              <w:pStyle w:val="Compact"/>
              <w:jc w:val="center"/>
            </w:pPr>
            <w:r>
              <w:t xml:space="preserve">42</w:t>
            </w:r>
          </w:p>
        </w:tc>
        <w:tc>
          <w:tcPr/>
          <w:p>
            <w:pPr>
              <w:pStyle w:val="Compact"/>
              <w:jc w:val="center"/>
            </w:pPr>
            <w:r>
              <w:t xml:space="preserve">2e-5</w:t>
            </w:r>
          </w:p>
        </w:tc>
        <w:tc>
          <w:tcPr/>
          <w:p>
            <w:pPr>
              <w:pStyle w:val="Compact"/>
              <w:jc w:val="center"/>
            </w:pPr>
            <w:r>
              <w:t xml:space="preserve">0.6</w:t>
            </w:r>
          </w:p>
        </w:tc>
        <w:tc>
          <w:tcPr/>
          <w:p>
            <w:pPr>
              <w:pStyle w:val="Compact"/>
              <w:jc w:val="center"/>
            </w:pPr>
            <w:r>
              <w:t xml:space="preserve">7</w:t>
            </w:r>
          </w:p>
        </w:tc>
        <w:tc>
          <w:tcPr/>
          <w:p>
            <w:pPr>
              <w:pStyle w:val="Compact"/>
              <w:jc w:val="center"/>
            </w:pPr>
            <w:r>
              <w:t xml:space="preserve">87.7</w:t>
            </w:r>
          </w:p>
        </w:tc>
      </w:tr>
    </w:tbl>
    <w:bookmarkEnd w:id="51"/>
    <w:p>
      <w:pPr>
        <w:pStyle w:val="BodyText"/>
      </w:pPr>
      <w:r>
        <w:t xml:space="preserve">Key findings: (1) seed stability</w:t>
      </w:r>
      <w:r>
        <w:t xml:space="preserve"> </w:t>
      </w:r>
      <m:oMath>
        <m:r>
          <m:t>σ</m:t>
        </m:r>
        <m:r>
          <m:rPr>
            <m:sty m:val="p"/>
          </m:rPr>
          <m:t>=</m:t>
        </m:r>
        <m:r>
          <m:t>0.34</m:t>
        </m:r>
      </m:oMath>
      <w:r>
        <w:t xml:space="preserve">pp—results are not initialization-dependent; (2) LR</w:t>
      </w:r>
      <w:r>
        <w:t xml:space="preserve"> </w:t>
      </w:r>
      <m:oMath>
        <m:r>
          <m:rPr>
            <m:sty m:val="p"/>
          </m:rPr>
          <m:t>=</m:t>
        </m:r>
        <m:sSup>
          <m:e>
            <m:r>
              <m:t>10</m:t>
            </m:r>
          </m:e>
          <m:sup>
            <m:r>
              <m:rPr>
                <m:sty m:val="p"/>
              </m:rPr>
              <m:t>−</m:t>
            </m:r>
            <m:r>
              <m:t>5</m:t>
            </m:r>
          </m:sup>
        </m:sSup>
      </m:oMath>
      <w:r>
        <w:t xml:space="preserve"> </w:t>
      </w:r>
      <w:r>
        <w:t xml:space="preserve">is optimal (</w:t>
      </w:r>
      <m:oMath>
        <m:r>
          <m:rPr>
            <m:sty m:val="p"/>
          </m:rPr>
          <m:t>+</m:t>
        </m:r>
        <m:r>
          <m:t>1.6</m:t>
        </m:r>
      </m:oMath>
      <w:r>
        <w:t xml:space="preserve">pp over</w:t>
      </w:r>
      <w:r>
        <w:t xml:space="preserve"> </w:t>
      </w:r>
      <m:oMath>
        <m:r>
          <m:t>3</m:t>
        </m:r>
        <m:r>
          <m:rPr>
            <m:sty m:val="p"/>
          </m:rPr>
          <m:t>×</m:t>
        </m:r>
        <m:sSup>
          <m:e>
            <m:r>
              <m:t>10</m:t>
            </m:r>
          </m:e>
          <m:sup>
            <m:r>
              <m:rPr>
                <m:sty m:val="p"/>
              </m:rPr>
              <m:t>−</m:t>
            </m:r>
            <m:r>
              <m:t>5</m:t>
            </m:r>
          </m:sup>
        </m:sSup>
      </m:oMath>
      <w:r>
        <w:t xml:space="preserve">); (3) confidence threshold barely matters (</w:t>
      </w:r>
      <m:oMath>
        <m:r>
          <m:t>0.4</m:t>
        </m:r>
      </m:oMath>
      <w:r>
        <w:t xml:space="preserve">pp range); (4) 3 epochs is optimal—5 and 7 overfit.</w:t>
      </w:r>
    </w:p>
    <w:bookmarkEnd w:id="52"/>
    <w:bookmarkStart w:id="54" w:name="ablation-by-source"/>
    <w:p>
      <w:pPr>
        <w:pStyle w:val="Heading2"/>
      </w:pPr>
      <w:r>
        <w:t xml:space="preserve">Ablation by Source</w:t>
      </w:r>
    </w:p>
    <w:p>
      <w:pPr>
        <w:pStyle w:val="FirstParagraph"/>
      </w:pPr>
      <w:r>
        <w:t xml:space="preserve">The model generalizes across data sources despite domain differences (Table </w:t>
      </w:r>
      <w:hyperlink w:anchor="tab:source-ablation">
        <w:r>
          <w:rPr>
            <w:rStyle w:val="Hyperlink"/>
          </w:rPr>
          <w:t xml:space="preserve">8</w:t>
        </w:r>
      </w:hyperlink>
      <w:r>
        <w:t xml:space="preserve">).</w:t>
      </w:r>
    </w:p>
    <w:bookmarkStart w:id="53" w:name="tab:source-ablation"/>
    <w:p>
      <w:pPr>
        <w:pStyle w:val="TableCaption"/>
      </w:pPr>
      <w:r>
        <w:t xml:space="preserve">Per-source</w:t>
      </w:r>
      <w:r>
        <w:t xml:space="preserve"> </w:t>
      </w:r>
      <m:oMath>
        <m:sSub>
          <m:e>
            <m:r>
              <m:t>F</m:t>
            </m:r>
          </m:e>
          <m:sub>
            <m:r>
              <m:t>1</m:t>
            </m:r>
          </m:sub>
        </m:sSub>
      </m:oMath>
      <w:r>
        <w:t xml:space="preserve">-macro (DeBERTa-v3-large, LR</w:t>
      </w:r>
      <w:r>
        <w:t xml:space="preserve"> </w:t>
      </w:r>
      <m:oMath>
        <m:r>
          <m:rPr>
            <m:sty m:val="p"/>
          </m:rPr>
          <m:t>=</m:t>
        </m:r>
        <m:sSup>
          <m:e>
            <m:r>
              <m:t>10</m:t>
            </m:r>
          </m:e>
          <m:sup>
            <m:r>
              <m:rPr>
                <m:sty m:val="p"/>
              </m:rPr>
              <m:t>−</m:t>
            </m:r>
            <m:r>
              <m:t>5</m:t>
            </m:r>
          </m:sup>
        </m:sSup>
      </m:oMath>
      <w:r>
        <w:t xml:space="preserve">).</w:t>
      </w:r>
    </w:p>
    <w:tbl>
      <w:tblPr>
        <w:tblStyle w:val="Table"/>
        <w:tblW w:type="auto" w:w="0"/>
        <w:tblLook w:firstRow="1" w:lastRow="0" w:firstColumn="0" w:lastColumn="0" w:noHBand="0" w:noVBand="0" w:val="0020"/>
        <w:tblCaption w:val="Per-source F_1-macro (DeBERTa-v3-large, LR = 10^{-5})."/>
      </w:tblPr>
      <w:tblGrid>
        <w:gridCol w:w="3960"/>
        <w:gridCol w:w="3960"/>
      </w:tblGrid>
      <w:tr>
        <w:trPr>
          <w:tblHeader w:val="on"/>
        </w:trPr>
        <w:tc>
          <w:tcPr/>
          <w:p>
            <w:pPr>
              <w:pStyle w:val="Compact"/>
              <w:jc w:val="left"/>
            </w:pPr>
            <w:r>
              <w:rPr>
                <w:b/>
                <w:bCs/>
              </w:rPr>
              <w:t xml:space="preserve">Source</w:t>
            </w:r>
          </w:p>
        </w:tc>
        <w:tc>
          <w:tcPr/>
          <w:p>
            <w:pPr>
              <w:pStyle w:val="Compact"/>
              <w:jc w:val="right"/>
            </w:pPr>
            <m:oMath>
              <m:sSub>
                <m:e>
                  <m:r>
                    <m:t>F</m:t>
                  </m:r>
                </m:e>
                <m:sub>
                  <m:r>
                    <m:t>1</m:t>
                  </m:r>
                </m:sub>
              </m:sSub>
            </m:oMath>
            <w:r>
              <w:rPr>
                <w:b/>
                <w:bCs/>
              </w:rPr>
              <w:t xml:space="preserve"> </w:t>
            </w:r>
            <w:r>
              <w:rPr>
                <w:b/>
                <w:bCs/>
              </w:rPr>
              <w:t xml:space="preserve">(macro)</w:t>
            </w:r>
          </w:p>
        </w:tc>
      </w:tr>
      <w:tr>
        <w:tc>
          <w:tcPr/>
          <w:p>
            <w:pPr>
              <w:pStyle w:val="Compact"/>
              <w:jc w:val="left"/>
            </w:pPr>
            <w:r>
              <w:t xml:space="preserve">GDELT (news)</w:t>
            </w:r>
          </w:p>
        </w:tc>
        <w:tc>
          <w:tcPr/>
          <w:p>
            <w:pPr>
              <w:pStyle w:val="Compact"/>
              <w:jc w:val="right"/>
            </w:pPr>
            <w:r>
              <w:t xml:space="preserve">87.2%</w:t>
            </w:r>
          </w:p>
        </w:tc>
      </w:tr>
      <w:tr>
        <w:tc>
          <w:tcPr/>
          <w:p>
            <w:pPr>
              <w:pStyle w:val="Compact"/>
              <w:jc w:val="left"/>
            </w:pPr>
            <w:r>
              <w:t xml:space="preserve">OpenAlex (academic)</w:t>
            </w:r>
          </w:p>
        </w:tc>
        <w:tc>
          <w:tcPr/>
          <w:p>
            <w:pPr>
              <w:pStyle w:val="Compact"/>
              <w:jc w:val="right"/>
            </w:pPr>
            <w:r>
              <w:t xml:space="preserve">91.4%</w:t>
            </w:r>
          </w:p>
        </w:tc>
      </w:tr>
      <w:tr>
        <w:tc>
          <w:tcPr/>
          <w:p>
            <w:pPr>
              <w:pStyle w:val="Compact"/>
              <w:jc w:val="left"/>
            </w:pPr>
            <w:r>
              <w:t xml:space="preserve">Reddit (social)</w:t>
            </w:r>
          </w:p>
        </w:tc>
        <w:tc>
          <w:tcPr/>
          <w:p>
            <w:pPr>
              <w:pStyle w:val="Compact"/>
              <w:jc w:val="right"/>
            </w:pPr>
            <w:r>
              <w:t xml:space="preserve">86.8%</w:t>
            </w:r>
          </w:p>
        </w:tc>
      </w:tr>
      <w:tr>
        <w:tc>
          <w:tcPr/>
          <w:p>
            <w:pPr>
              <w:pStyle w:val="Compact"/>
              <w:jc w:val="left"/>
            </w:pPr>
            <w:r>
              <w:t xml:space="preserve">YouTube (video)</w:t>
            </w:r>
          </w:p>
        </w:tc>
        <w:tc>
          <w:tcPr/>
          <w:p>
            <w:pPr>
              <w:pStyle w:val="Compact"/>
              <w:jc w:val="right"/>
            </w:pPr>
            <w:r>
              <w:t xml:space="preserve">85.3%</w:t>
            </w:r>
          </w:p>
        </w:tc>
      </w:tr>
    </w:tbl>
    <w:bookmarkEnd w:id="53"/>
    <w:bookmarkEnd w:id="54"/>
    <w:bookmarkEnd w:id="55"/>
    <w:bookmarkStart w:id="60" w:name="sec:discussion"/>
    <w:p>
      <w:pPr>
        <w:pStyle w:val="Heading1"/>
      </w:pPr>
      <w:r>
        <w:t xml:space="preserve">Discussion</w:t>
      </w:r>
    </w:p>
    <w:bookmarkStart w:id="56" w:name="spelling-as-discourse-marker."/>
    <w:p>
      <w:pPr>
        <w:pStyle w:val="Heading4"/>
      </w:pPr>
      <w:r>
        <w:t xml:space="preserve">Spelling as discourse marker.</w:t>
      </w:r>
    </w:p>
    <w:p>
      <w:pPr>
        <w:pStyle w:val="FirstParagraph"/>
      </w:pPr>
      <w:r>
        <w:t xml:space="preserve">Our central finding—that toponym variant choice functions as a discourse marker—extends</w:t>
      </w:r>
      <w:r>
        <w:t xml:space="preserve"> </w:t>
      </w:r>
      <w:r>
        <w:t xml:space="preserve">’s indexicality framework to written web discourse. Selecting</w:t>
      </w:r>
      <w:r>
        <w:t xml:space="preserve"> </w:t>
      </w:r>
      <w:r>
        <w:t xml:space="preserve">“Kyiv”</w:t>
      </w:r>
      <w:r>
        <w:t xml:space="preserve"> </w:t>
      </w:r>
      <w:r>
        <w:t xml:space="preserve">indexes not just temporal recency but awareness of Ukrainian sovereignty, engagement with conflict reporting, and alignment with institutional norms. Selecting</w:t>
      </w:r>
      <w:r>
        <w:t xml:space="preserve"> </w:t>
      </w:r>
      <w:r>
        <w:t xml:space="preserve">“Kiev”</w:t>
      </w:r>
      <w:r>
        <w:t xml:space="preserve"> </w:t>
      </w:r>
      <w:r>
        <w:t xml:space="preserve">indexes cultural convention (recipes), historical reference, or entertainment consumption (gaming, tourism).</w:t>
      </w:r>
    </w:p>
    <w:bookmarkEnd w:id="56"/>
    <w:bookmarkStart w:id="57" w:name="implications-for-language-policy."/>
    <w:p>
      <w:pPr>
        <w:pStyle w:val="Heading4"/>
      </w:pPr>
      <w:r>
        <w:t xml:space="preserve">Implications for language policy.</w:t>
      </w:r>
    </w:p>
    <w:p>
      <w:pPr>
        <w:pStyle w:val="FirstParagraph"/>
      </w:pPr>
      <w:r>
        <w:t xml:space="preserve">Our results suggest that language policy campaigns like #KyivNotKiev succeed</w:t>
      </w:r>
      <w:r>
        <w:t xml:space="preserve"> </w:t>
      </w:r>
      <w:r>
        <w:rPr>
          <w:i/>
          <w:iCs/>
        </w:rPr>
        <w:t xml:space="preserve">selectively</w:t>
      </w:r>
      <w:r>
        <w:t xml:space="preserve">: modern institutional contexts adopt quickly (sports: +3.3pp, academia: +5.9pp), while cultural artifacts (food names, historical terms) and brands (</w:t>
      </w:r>
      <w:r>
        <w:t xml:space="preserve">“Chernobyl”</w:t>
      </w:r>
      <w:r>
        <w:t xml:space="preserve">) resist indefinitely. Policymakers should expect heterogeneous adoption rather than uniform switching.</w:t>
      </w:r>
    </w:p>
    <w:bookmarkEnd w:id="57"/>
    <w:bookmarkStart w:id="58" w:name="the-invasion-effect."/>
    <w:p>
      <w:pPr>
        <w:pStyle w:val="Heading4"/>
      </w:pPr>
      <w:r>
        <w:t xml:space="preserve">The invasion effect.</w:t>
      </w:r>
    </w:p>
    <w:p>
      <w:pPr>
        <w:pStyle w:val="FirstParagraph"/>
      </w:pPr>
      <w:r>
        <w:t xml:space="preserve">The regression coefficient</w:t>
      </w:r>
      <w:r>
        <w:t xml:space="preserve"> </w:t>
      </w:r>
      <m:oMath>
        <m:sSub>
          <m:e>
            <m:r>
              <m:t>β</m:t>
            </m:r>
          </m:e>
          <m:sub>
            <m:r>
              <m:rPr>
                <m:nor/>
                <m:sty m:val="p"/>
              </m:rPr>
              <m:t>invasion</m:t>
            </m:r>
          </m:sub>
        </m:sSub>
        <m:r>
          <m:rPr>
            <m:sty m:val="p"/>
          </m:rPr>
          <m:t>=</m:t>
        </m:r>
        <m:r>
          <m:t>0.87</m:t>
        </m:r>
      </m:oMath>
      <w:r>
        <w:t xml:space="preserve"> </w:t>
      </w:r>
      <w:r>
        <w:t xml:space="preserve">suggests that Russia’s full-scale invasion was a more powerful adoption driver than the #KyivNotKiev campaign itself. This parallels the observation that</w:t>
      </w:r>
      <w:r>
        <w:t xml:space="preserve"> </w:t>
      </w:r>
      <w:r>
        <w:t xml:space="preserve">“Bakhmut”</w:t>
      </w:r>
      <w:r>
        <w:t xml:space="preserve"> </w:t>
      </w:r>
      <w:r>
        <w:t xml:space="preserve">achieved 89.6% adoption not through campaigning but through the siege making the name globally salient under Ukraine’s framing.</w:t>
      </w:r>
    </w:p>
    <w:bookmarkEnd w:id="58"/>
    <w:bookmarkStart w:id="59" w:name="applicability-to-other-naming-disputes."/>
    <w:p>
      <w:pPr>
        <w:pStyle w:val="Heading4"/>
      </w:pPr>
      <w:r>
        <w:t xml:space="preserve">Applicability to other naming disputes.</w:t>
      </w:r>
    </w:p>
    <w:p>
      <w:pPr>
        <w:pStyle w:val="FirstParagraph"/>
      </w:pPr>
      <w:r>
        <w:t xml:space="preserve">Our methodology—large-scale multi-source tracking combined with discourse classification—is directly applicable to other contested toponyms: Myanmar/Burma, Bombay/Mumbai, Peking/Beijing, Taiwan/Chinese Taipei.</w:t>
      </w:r>
    </w:p>
    <w:bookmarkEnd w:id="59"/>
    <w:bookmarkEnd w:id="60"/>
    <w:bookmarkStart w:id="66" w:name="sec:limitations"/>
    <w:p>
      <w:pPr>
        <w:pStyle w:val="Heading1"/>
      </w:pPr>
      <w:r>
        <w:t xml:space="preserve">Limitations</w:t>
      </w:r>
    </w:p>
    <w:bookmarkStart w:id="61" w:name="english-dominant-corpus."/>
    <w:p>
      <w:pPr>
        <w:pStyle w:val="Heading4"/>
      </w:pPr>
      <w:r>
        <w:t xml:space="preserve">English-dominant corpus.</w:t>
      </w:r>
    </w:p>
    <w:p>
      <w:pPr>
        <w:pStyle w:val="FirstParagraph"/>
      </w:pPr>
      <w:r>
        <w:t xml:space="preserve">While 17% of texts are Cyrillic, our analysis primarily reflects English-language adoption. The campaign’s effect in French, German, or Spanish media requires separate study, though our cross-lingual TLD analysis provides initial evidence (France: 4% adoption, Spain: 67%).</w:t>
      </w:r>
    </w:p>
    <w:bookmarkEnd w:id="61"/>
    <w:bookmarkStart w:id="62" w:name="llm-annotation."/>
    <w:p>
      <w:pPr>
        <w:pStyle w:val="Heading4"/>
      </w:pPr>
      <w:r>
        <w:t xml:space="preserve">LLM annotation.</w:t>
      </w:r>
    </w:p>
    <w:p>
      <w:pPr>
        <w:pStyle w:val="FirstParagraph"/>
      </w:pPr>
      <w:r>
        <w:t xml:space="preserve">Labels are produced by Llama 3.1 70B, not human annotators. While human validation on 1,000 samples shows</w:t>
      </w:r>
      <w:r>
        <w:t xml:space="preserve"> </w:t>
      </w:r>
      <m:oMath>
        <m:r>
          <m:rPr>
            <m:sty m:val="p"/>
          </m:rPr>
          <m:t>&gt;</m:t>
        </m:r>
      </m:oMath>
      <w:r>
        <w:t xml:space="preserve">98% agreement and encoder learnability (</w:t>
      </w:r>
      <m:oMath>
        <m:sSub>
          <m:e>
            <m:r>
              <m:t>F</m:t>
            </m:r>
          </m:e>
          <m:sub>
            <m:r>
              <m:t>1</m:t>
            </m:r>
          </m:sub>
        </m:sSub>
        <m:r>
          <m:rPr>
            <m:sty m:val="p"/>
          </m:rPr>
          <m:t>=</m:t>
        </m:r>
        <m:r>
          <m:t>88.8</m:t>
        </m:r>
        <m:r>
          <m:rPr>
            <m:sty m:val="p"/>
          </m:rPr>
          <m:t>%</m:t>
        </m:r>
      </m:oMath>
      <w:r>
        <w:t xml:space="preserve">) confirms signal quality, LLM biases may systematically affect certain categories.</w:t>
      </w:r>
    </w:p>
    <w:bookmarkEnd w:id="62"/>
    <w:bookmarkStart w:id="63" w:name="gdelt-article-yield."/>
    <w:p>
      <w:pPr>
        <w:pStyle w:val="Heading4"/>
      </w:pPr>
      <w:r>
        <w:t xml:space="preserve">GDELT article yield.</w:t>
      </w:r>
    </w:p>
    <w:p>
      <w:pPr>
        <w:pStyle w:val="FirstParagraph"/>
      </w:pPr>
      <w:r>
        <w:t xml:space="preserve">Only 58% of sampled GDELT URLs yielded extractable text (20% dead links, 10% blocked, 8% too short). We verify that fetch failure rates do not differ significantly between Russian and Ukrainian variant URLs (</w:t>
      </w:r>
      <m:oMath>
        <m:sSup>
          <m:e>
            <m:r>
              <m:t>χ</m:t>
            </m:r>
          </m:e>
          <m:sup>
            <m:r>
              <m:t>2</m:t>
            </m:r>
          </m:sup>
        </m:sSup>
      </m:oMath>
      <w:r>
        <w:t xml:space="preserve"> </w:t>
      </w:r>
      <w:r>
        <w:t xml:space="preserve">test,</w:t>
      </w:r>
      <w:r>
        <w:t xml:space="preserve"> </w:t>
      </w:r>
      <m:oMath>
        <m:r>
          <m:t>p</m:t>
        </m:r>
        <m:r>
          <m:rPr>
            <m:sty m:val="p"/>
          </m:rPr>
          <m:t>=</m:t>
        </m:r>
        <m:r>
          <m:t>0.42</m:t>
        </m:r>
      </m:oMath>
      <w:r>
        <w:t xml:space="preserve">), ruling out survivorship bias.</w:t>
      </w:r>
    </w:p>
    <w:bookmarkEnd w:id="63"/>
    <w:bookmarkStart w:id="64" w:name="temporal-skew."/>
    <w:p>
      <w:pPr>
        <w:pStyle w:val="Heading4"/>
      </w:pPr>
      <w:r>
        <w:t xml:space="preserve">Temporal skew.</w:t>
      </w:r>
    </w:p>
    <w:p>
      <w:pPr>
        <w:pStyle w:val="FirstParagraph"/>
      </w:pPr>
      <w:r>
        <w:t xml:space="preserve">51% of corpus texts are from 2022–2026 (post-invasion). While expected and documented, this means pre-campaign discourse contexts are thinner. Our stratified sampling partially mitigates this.</w:t>
      </w:r>
    </w:p>
    <w:bookmarkEnd w:id="64"/>
    <w:bookmarkStart w:id="65" w:name="no-demographic-metadata."/>
    <w:p>
      <w:pPr>
        <w:pStyle w:val="Heading4"/>
      </w:pPr>
      <w:r>
        <w:t xml:space="preserve">No demographic metadata.</w:t>
      </w:r>
    </w:p>
    <w:p>
      <w:pPr>
        <w:pStyle w:val="FirstParagraph"/>
      </w:pPr>
      <w:r>
        <w:t xml:space="preserve">We do not know</w:t>
      </w:r>
      <w:r>
        <w:t xml:space="preserve"> </w:t>
      </w:r>
      <w:r>
        <w:rPr>
          <w:i/>
          <w:iCs/>
        </w:rPr>
        <w:t xml:space="preserve">who</w:t>
      </w:r>
      <w:r>
        <w:t xml:space="preserve"> </w:t>
      </w:r>
      <w:r>
        <w:t xml:space="preserve">wrote each text. Source-level analysis (Reddit vs. academic vs. news) provides a proxy for register and audience, but individual-level sociolinguistic analysis is not possible.</w:t>
      </w:r>
    </w:p>
    <w:bookmarkEnd w:id="65"/>
    <w:bookmarkEnd w:id="66"/>
    <w:bookmarkStart w:id="67" w:name="sec:conclusion"/>
    <w:p>
      <w:pPr>
        <w:pStyle w:val="Heading1"/>
      </w:pPr>
      <w:r>
        <w:t xml:space="preserve">Conclusion</w:t>
      </w:r>
    </w:p>
    <w:p>
      <w:pPr>
        <w:pStyle w:val="FirstParagraph"/>
      </w:pPr>
      <w:r>
        <w:t xml:space="preserve">We present the largest computational study of toponym adoption, analyzing 613 million records across 7 sources and 55 Ukrainian–Russian spelling pairs. Beyond frequency counting, our transformer-based discourse analysis reveals that spelling variant choice is not a binary switch but a</w:t>
      </w:r>
      <w:r>
        <w:t xml:space="preserve"> </w:t>
      </w:r>
      <w:r>
        <w:rPr>
          <w:b/>
          <w:bCs/>
        </w:rPr>
        <w:t xml:space="preserve">discourse marker</w:t>
      </w:r>
      <w:r>
        <w:t xml:space="preserve">—a sociolinguistic index in the sense of</w:t>
      </w:r>
      <w:r>
        <w:t xml:space="preserve"> </w:t>
      </w:r>
      <w:r>
        <w:t xml:space="preserve">—that signals the writer’s engagement context.</w:t>
      </w:r>
    </w:p>
    <w:p>
      <w:pPr>
        <w:pStyle w:val="BodyText"/>
      </w:pPr>
      <w:r>
        <w:t xml:space="preserve">Six distinct adoption mechanisms emerge: cultural fossilization (</w:t>
      </w:r>
      <w:r>
        <w:t xml:space="preserve">“Chicken Kiev”</w:t>
      </w:r>
      <w:r>
        <w:t xml:space="preserve">), brand lock-in (</w:t>
      </w:r>
      <w:r>
        <w:t xml:space="preserve">“Chernobyl”</w:t>
      </w:r>
      <w:r>
        <w:t xml:space="preserve">), war-driven adoption (</w:t>
      </w:r>
      <w:r>
        <w:t xml:space="preserve">“Odesa”</w:t>
      </w:r>
      <w:r>
        <w:t xml:space="preserve">), identity framing (</w:t>
      </w:r>
      <w:r>
        <w:t xml:space="preserve">“Volodymyr Zelenskyy”</w:t>
      </w:r>
      <w:r>
        <w:t xml:space="preserve">), citation inertia (</w:t>
      </w:r>
      <w:r>
        <w:t xml:space="preserve">“Vladimir the Great”</w:t>
      </w:r>
      <w:r>
        <w:t xml:space="preserve">), and naming as resistance (</w:t>
      </w:r>
      <w:r>
        <w:t xml:space="preserve">“Bakhmut”</w:t>
      </w:r>
      <w:r>
        <w:t xml:space="preserve">). These mechanisms explain why the #KyivNotKiev campaign achieved 60% adoption for its flagship pair but near-zero for historical identity terms.</w:t>
      </w:r>
    </w:p>
    <w:p>
      <w:pPr>
        <w:pStyle w:val="BodyText"/>
      </w:pPr>
      <w:r>
        <w:t xml:space="preserve">Our published corpus, trained classifier, and interactive dashboard enable researchers to study naming disputes beyond Ukraine, contributing both empirical findings and reusable tools to computational sociolinguistics.</w:t>
      </w:r>
    </w:p>
    <w:bookmarkEnd w:id="67"/>
    <w:bookmarkStart w:id="70" w:name="reproducibility"/>
    <w:p>
      <w:pPr>
        <w:pStyle w:val="Heading1"/>
      </w:pPr>
      <w:r>
        <w:t xml:space="preserve">Reproducibility</w:t>
      </w:r>
    </w:p>
    <w:p>
      <w:pPr>
        <w:pStyle w:val="FirstParagraph"/>
      </w:pPr>
      <w:r>
        <w:t xml:space="preserve">All code, data, and trained models are publicly available:</w:t>
      </w:r>
    </w:p>
    <w:p>
      <w:pPr>
        <w:numPr>
          <w:ilvl w:val="0"/>
          <w:numId w:val="1005"/>
        </w:numPr>
      </w:pPr>
      <w:r>
        <w:t xml:space="preserve">Code:</w:t>
      </w:r>
      <w:r>
        <w:t xml:space="preserve"> </w:t>
      </w:r>
      <w:hyperlink r:id="rId11">
        <w:r>
          <w:rPr>
            <w:rStyle w:val="Hyperlink"/>
          </w:rPr>
          <w:t xml:space="preserve">https://github.com/IvanDobrovolsky/kyivnotkiev</w:t>
        </w:r>
      </w:hyperlink>
    </w:p>
    <w:p>
      <w:pPr>
        <w:numPr>
          <w:ilvl w:val="0"/>
          <w:numId w:val="1005"/>
        </w:numPr>
      </w:pPr>
      <w:r>
        <w:t xml:space="preserve">Dataset:</w:t>
      </w:r>
      <w:r>
        <w:t xml:space="preserve"> </w:t>
      </w:r>
      <w:hyperlink r:id="rId10">
        <w:r>
          <w:rPr>
            <w:rStyle w:val="Hyperlink"/>
          </w:rPr>
          <w:t xml:space="preserve">https://huggingface.co/datasets/KyivNotKiev/corpus</w:t>
        </w:r>
      </w:hyperlink>
    </w:p>
    <w:p>
      <w:pPr>
        <w:numPr>
          <w:ilvl w:val="0"/>
          <w:numId w:val="1005"/>
        </w:numPr>
      </w:pPr>
      <w:r>
        <w:t xml:space="preserve">Dashboard:</w:t>
      </w:r>
      <w:r>
        <w:t xml:space="preserve"> </w:t>
      </w:r>
      <w:hyperlink r:id="rId12">
        <w:r>
          <w:rPr>
            <w:rStyle w:val="Hyperlink"/>
          </w:rPr>
          <w:t xml:space="preserve">https://kyivnotkiev.org</w:t>
        </w:r>
      </w:hyperlink>
    </w:p>
    <w:p>
      <w:pPr>
        <w:pStyle w:val="FirstParagraph"/>
      </w:pPr>
      <w:r>
        <w:t xml:space="preserve">Total GPU cost for the CL pipeline: $14.10 (NVIDIA B200, vast.ai).</w:t>
      </w:r>
    </w:p>
    <w:p>
      <w:pPr>
        <w:pStyle w:val="BodyText"/>
      </w:pPr>
      <w:r>
        <w:t xml:space="preserve">20</w:t>
      </w:r>
    </w:p>
    <w:p>
      <w:pPr>
        <w:pStyle w:val="BodyText"/>
      </w:pPr>
      <w:r>
        <w:t xml:space="preserve">Penelope Eckert.</w:t>
      </w:r>
      <w:r>
        <w:t xml:space="preserve"> </w:t>
      </w:r>
      <w:r>
        <w:t xml:space="preserve">Variation and the indexical field.</w:t>
      </w:r>
      <w:r>
        <w:t xml:space="preserve"> </w:t>
      </w:r>
      <w:r>
        <w:rPr>
          <w:i/>
          <w:iCs/>
        </w:rPr>
        <w:t xml:space="preserve">Journal of Sociolinguistics</w:t>
      </w:r>
      <w:r>
        <w:t xml:space="preserve">, 12(4):453–476, 2008.</w:t>
      </w:r>
    </w:p>
    <w:p>
      <w:pPr>
        <w:pStyle w:val="BodyText"/>
      </w:pPr>
      <w:r>
        <w:t xml:space="preserve">William Labov.</w:t>
      </w:r>
      <w:r>
        <w:t xml:space="preserve"> </w:t>
      </w:r>
      <w:r>
        <w:rPr>
          <w:i/>
          <w:iCs/>
        </w:rPr>
        <w:t xml:space="preserve">The Social Stratification of English in New York City</w:t>
      </w:r>
      <w:r>
        <w:t xml:space="preserve">.</w:t>
      </w:r>
      <w:r>
        <w:t xml:space="preserve"> </w:t>
      </w:r>
      <w:r>
        <w:t xml:space="preserve">Center for Applied Linguistics, Washington, DC, 1966.</w:t>
      </w:r>
    </w:p>
    <w:p>
      <w:pPr>
        <w:pStyle w:val="BodyText"/>
      </w:pPr>
      <w:r>
        <w:t xml:space="preserve">Dong Nguyen, A. Seza Doğruöz, Carolyn P. Rosé, and Franciska de Jong.</w:t>
      </w:r>
      <w:r>
        <w:t xml:space="preserve"> </w:t>
      </w:r>
      <w:r>
        <w:t xml:space="preserve">Computational sociolinguistics: A survey.</w:t>
      </w:r>
      <w:r>
        <w:t xml:space="preserve"> </w:t>
      </w:r>
      <w:r>
        <w:rPr>
          <w:i/>
          <w:iCs/>
        </w:rPr>
        <w:t xml:space="preserve">Computational Linguistics</w:t>
      </w:r>
      <w:r>
        <w:t xml:space="preserve">, 42(3):537–593, 2016.</w:t>
      </w:r>
    </w:p>
    <w:p>
      <w:pPr>
        <w:pStyle w:val="BodyText"/>
      </w:pPr>
      <w:r>
        <w:t xml:space="preserve">Bernard Spolsky.</w:t>
      </w:r>
      <w:r>
        <w:t xml:space="preserve"> </w:t>
      </w:r>
      <w:r>
        <w:rPr>
          <w:i/>
          <w:iCs/>
        </w:rPr>
        <w:t xml:space="preserve">Language Policy</w:t>
      </w:r>
      <w:r>
        <w:t xml:space="preserve">.</w:t>
      </w:r>
      <w:r>
        <w:t xml:space="preserve"> </w:t>
      </w:r>
      <w:r>
        <w:t xml:space="preserve">Cambridge University Press, 2004.</w:t>
      </w:r>
    </w:p>
    <w:p>
      <w:pPr>
        <w:pStyle w:val="BodyText"/>
      </w:pPr>
      <w:r>
        <w:t xml:space="preserve">Olexii Varypaiev.</w:t>
      </w:r>
      <w:r>
        <w:t xml:space="preserve"> </w:t>
      </w:r>
      <w:r>
        <w:t xml:space="preserve">Wartime food practices as cultural resistance: Philosophical and socio-cultural dimensions of national identity transformation in Ukraine (2022–2025).</w:t>
      </w:r>
      <w:r>
        <w:t xml:space="preserve"> </w:t>
      </w:r>
      <w:r>
        <w:t xml:space="preserve">SSRN Working Paper, 2025.</w:t>
      </w:r>
    </w:p>
    <w:p>
      <w:pPr>
        <w:pStyle w:val="BodyText"/>
      </w:pPr>
      <w:r>
        <w:t xml:space="preserve">Wikipedia.</w:t>
      </w:r>
      <w:r>
        <w:t xml:space="preserve"> </w:t>
      </w:r>
      <w:r>
        <w:t xml:space="preserve">.</w:t>
      </w:r>
      <w:r>
        <w:t xml:space="preserve"> </w:t>
      </w:r>
      <w:hyperlink r:id="rId68">
        <w:r>
          <w:rPr>
            <w:rStyle w:val="Hyperlink"/>
          </w:rPr>
          <w:t xml:space="preserve">https://en.wikipedia.org/wiki/KyivNotKiev</w:t>
        </w:r>
      </w:hyperlink>
      <w:r>
        <w:t xml:space="preserve">, 2024.</w:t>
      </w:r>
    </w:p>
    <w:p>
      <w:pPr>
        <w:pStyle w:val="BodyText"/>
      </w:pPr>
      <w:r>
        <w:t xml:space="preserve">Wikipedia.</w:t>
      </w:r>
      <w:r>
        <w:t xml:space="preserve"> </w:t>
      </w:r>
      <w:r>
        <w:t xml:space="preserve">.</w:t>
      </w:r>
      <w:r>
        <w:t xml:space="preserve"> </w:t>
      </w:r>
      <w:hyperlink r:id="rId69">
        <w:r>
          <w:rPr>
            <w:rStyle w:val="Hyperlink"/>
          </w:rPr>
          <w:t xml:space="preserve">https://en.wikipedia.org/wiki/List_of_Ukrainian_place_names_affected_by_derussification</w:t>
        </w:r>
      </w:hyperlink>
      <w:r>
        <w:t xml:space="preserve">, 2024.</w:t>
      </w:r>
    </w:p>
    <w:p>
      <w:pPr>
        <w:pStyle w:val="BodyText"/>
      </w:pPr>
      <w:r>
        <w:t xml:space="preserve">UNESCO.</w:t>
      </w:r>
      <w:r>
        <w:t xml:space="preserve"> </w:t>
      </w:r>
      <w:r>
        <w:t xml:space="preserve">Culture of Ukrainian borscht cooking inscribed on the List of Intangible Cultural Heritage in Need of Urgent Safeguarding.</w:t>
      </w:r>
      <w:r>
        <w:t xml:space="preserve"> </w:t>
      </w:r>
      <w:r>
        <w:t xml:space="preserve">July 2022.</w:t>
      </w:r>
    </w:p>
    <w:p>
      <w:pPr>
        <w:pStyle w:val="BodyText"/>
      </w:pPr>
      <w:r>
        <w:t xml:space="preserve">Oleksiy Gnatiuk.</w:t>
      </w:r>
      <w:r>
        <w:t xml:space="preserve"> </w:t>
      </w:r>
      <w:r>
        <w:t xml:space="preserve">Toponymic decommunisation in Ukraine: Renaming Gagarin streets and reclaiming the symbolic landscape.</w:t>
      </w:r>
      <w:r>
        <w:t xml:space="preserve"> </w:t>
      </w:r>
      <w:r>
        <w:rPr>
          <w:i/>
          <w:iCs/>
        </w:rPr>
        <w:t xml:space="preserve">Names</w:t>
      </w:r>
      <w:r>
        <w:t xml:space="preserve">, 2025.</w:t>
      </w:r>
    </w:p>
    <w:p>
      <w:pPr>
        <w:pStyle w:val="BodyText"/>
      </w:pPr>
      <w:r>
        <w:t xml:space="preserve">Oleksiy Gnatiuk and Anatoliy Melnychuk.</w:t>
      </w:r>
      <w:r>
        <w:t xml:space="preserve"> </w:t>
      </w:r>
      <w:r>
        <w:t xml:space="preserve">A case study of de-Russification of Ukrainian hodonyms.</w:t>
      </w:r>
      <w:r>
        <w:t xml:space="preserve"> </w:t>
      </w:r>
      <w:r>
        <w:rPr>
          <w:i/>
          <w:iCs/>
        </w:rPr>
        <w:t xml:space="preserve">Names</w:t>
      </w:r>
      <w:r>
        <w:t xml:space="preserve">, 71(4), 2023.</w:t>
      </w:r>
    </w:p>
    <w:p>
      <w:pPr>
        <w:pStyle w:val="BodyText"/>
      </w:pPr>
      <w:r>
        <w:t xml:space="preserve">Olena Yehorova.</w:t>
      </w:r>
      <w:r>
        <w:t xml:space="preserve"> </w:t>
      </w:r>
      <w:r>
        <w:t xml:space="preserve">Ukrainian onomastic identity across 15 years (2006–2021).</w:t>
      </w:r>
      <w:r>
        <w:t xml:space="preserve"> </w:t>
      </w:r>
      <w:r>
        <w:rPr>
          <w:i/>
          <w:iCs/>
        </w:rPr>
        <w:t xml:space="preserve">Names</w:t>
      </w:r>
      <w:r>
        <w:t xml:space="preserve">, 2023.</w:t>
      </w:r>
    </w:p>
    <w:p>
      <w:pPr>
        <w:pStyle w:val="BodyText"/>
      </w:pPr>
      <w:r>
        <w:t xml:space="preserve">Verkhovna Rada of Ukraine.</w:t>
      </w:r>
      <w:r>
        <w:t xml:space="preserve"> </w:t>
      </w:r>
      <w:r>
        <w:t xml:space="preserve">On the condemnation of the communist and national socialist (Nazi) totalitarian regimes in Ukraine and prohibition of propaganda of their symbols.</w:t>
      </w:r>
      <w:r>
        <w:t xml:space="preserve"> </w:t>
      </w:r>
      <w:r>
        <w:t xml:space="preserve">Law No. 317-VIII, April 9, 2015.</w:t>
      </w:r>
    </w:p>
    <w:bookmarkEnd w:id="70"/>
    <w:p>
      <w:r>
        <w:br w:type="page"/>
      </w:r>
    </w:p>
    <w:p>
      <w:r>
        <w:br w:type="page"/>
      </w:r>
    </w:p>
    <w:p>
      <w:pPr>
        <w:pStyle w:val="Heading1"/>
      </w:pPr>
      <w:r>
        <w:t>Figures</w:t>
      </w:r>
    </w:p>
    <w:p>
      <w:pPr>
        <w:jc w:val="center"/>
      </w:pPr>
      <w:r>
        <w:drawing>
          <wp:inline>
            <wp:extent cx="5486400" cy="304929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049292"/>
                    </a:xfrm>
                    <a:prstGeom prst="rect"/>
                  </pic:spPr>
                </pic:pic>
              </a:graphicData>
            </a:graphic>
          </wp:inline>
        </w:drawing>
      </w:r>
    </w:p>
    <w:p>
      <w:pPr>
        <w:jc w:val="left"/>
      </w:pPr>
      <w:r>
        <w:rPr>
          <w:i/>
          <w:sz w:val="18"/>
        </w:rPr>
        <w:t>Figure 1: Context distribution by spelling variant across all 55 pairs (n=29,938).</w:t>
      </w:r>
    </w:p>
    <w:p/>
    <w:p>
      <w:pPr>
        <w:jc w:val="center"/>
      </w:pPr>
      <w:r>
        <w:drawing>
          <wp:inline>
            <wp:extent cx="5486400" cy="2350318"/>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2350318"/>
                    </a:xfrm>
                    <a:prstGeom prst="rect"/>
                  </pic:spPr>
                </pic:pic>
              </a:graphicData>
            </a:graphic>
          </wp:inline>
        </w:drawing>
      </w:r>
    </w:p>
    <w:p>
      <w:pPr>
        <w:jc w:val="left"/>
      </w:pPr>
      <w:r>
        <w:rPr>
          <w:i/>
          <w:sz w:val="18"/>
        </w:rPr>
        <w:t>Figure 2: Six mechanisms of toponym adoption, ranging from 4.8% to 89.6%.</w:t>
      </w:r>
    </w:p>
    <w:p/>
    <w:p>
      <w:pPr>
        <w:jc w:val="center"/>
      </w:pPr>
      <w:r>
        <w:drawing>
          <wp:inline>
            <wp:extent cx="5486400" cy="2195300"/>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2195300"/>
                    </a:xfrm>
                    <a:prstGeom prst="rect"/>
                  </pic:spPr>
                </pic:pic>
              </a:graphicData>
            </a:graphic>
          </wp:inline>
        </w:drawing>
      </w:r>
    </w:p>
    <w:p>
      <w:pPr>
        <w:jc w:val="left"/>
      </w:pPr>
      <w:r>
        <w:rPr>
          <w:i/>
          <w:sz w:val="18"/>
        </w:rPr>
        <w:t>Figure 3: Collocations — Chernobyl (entertainment) vs Chornobyl (nuclear operations).</w:t>
      </w:r>
    </w:p>
    <w:p/>
    <w:p>
      <w:pPr>
        <w:jc w:val="center"/>
      </w:pPr>
      <w:r>
        <w:drawing>
          <wp:inline>
            <wp:extent cx="5486400" cy="3092092"/>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3092092"/>
                    </a:xfrm>
                    <a:prstGeom prst="rect"/>
                  </pic:spPr>
                </pic:pic>
              </a:graphicData>
            </a:graphic>
          </wp:inline>
        </w:drawing>
      </w:r>
    </w:p>
    <w:p>
      <w:pPr>
        <w:jc w:val="left"/>
      </w:pPr>
      <w:r>
        <w:rPr>
          <w:i/>
          <w:sz w:val="18"/>
        </w:rPr>
        <w:t>Figure 4: Sentiment by variant and context.</w:t>
      </w:r>
    </w:p>
    <w:p/>
    <w:p>
      <w:pPr>
        <w:jc w:val="center"/>
      </w:pPr>
      <w:r>
        <w:drawing>
          <wp:inline>
            <wp:extent cx="5486400" cy="2287776"/>
            <wp:docPr id="5" name="Picture 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2287776"/>
                    </a:xfrm>
                    <a:prstGeom prst="rect"/>
                  </pic:spPr>
                </pic:pic>
              </a:graphicData>
            </a:graphic>
          </wp:inline>
        </w:drawing>
      </w:r>
    </w:p>
    <w:p>
      <w:pPr>
        <w:jc w:val="left"/>
      </w:pPr>
      <w:r>
        <w:rPr>
          <w:i/>
          <w:sz w:val="18"/>
        </w:rPr>
        <w:t>Figure 5: Encoder benchmark — DeBERTa-v3-large F1=88.8%.</w:t>
      </w:r>
    </w:p>
    <w:p/>
    <w:p>
      <w:pPr>
        <w:jc w:val="center"/>
      </w:pPr>
      <w:r>
        <w:drawing>
          <wp:inline>
            <wp:extent cx="5486400" cy="1720061"/>
            <wp:docPr id="6" name="Picture 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1720061"/>
                    </a:xfrm>
                    <a:prstGeom prst="rect"/>
                  </pic:spPr>
                </pic:pic>
              </a:graphicData>
            </a:graphic>
          </wp:inline>
        </w:drawing>
      </w:r>
    </w:p>
    <w:p>
      <w:pPr>
        <w:jc w:val="left"/>
      </w:pPr>
      <w:r>
        <w:rPr>
          <w:i/>
          <w:sz w:val="18"/>
        </w:rPr>
        <w:t>Figure 6: Robustness — seed σ=0.34pp, LR=1e-5 optimal, 3 epochs optimal.</w:t>
      </w:r>
    </w:p>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hyperlink r:id="rId10">
        <w:r>
          <w:rPr>
            <w:rStyle w:val="Hyperlink"/>
          </w:rPr>
          <w:t xml:space="preserve">https://huggingface.co/datasets/KyivNotKiev/corpus</w:t>
        </w:r>
      </w:hyperlink>
      <w:r>
        <w:t xml:space="preserve">;</w:t>
      </w:r>
      <w:r>
        <w:t xml:space="preserve"> </w:t>
      </w:r>
      <w:hyperlink r:id="rId11">
        <w:r>
          <w:rPr>
            <w:rStyle w:val="Hyperlink"/>
          </w:rPr>
          <w:t xml:space="preserve">https://github.com/IvanDobrovolsky/kyivnotkiev</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8" Type="http://schemas.openxmlformats.org/officeDocument/2006/relationships/hyperlink" Target="https://en.wikipedia.org/wiki/KyivNotKiev" TargetMode="External"/><Relationship Id="rId69" Type="http://schemas.openxmlformats.org/officeDocument/2006/relationships/hyperlink" Target="https://en.wikipedia.org/wiki/List_of_Ukrainian_place_names_affected_by_derussification" TargetMode="External"/><Relationship Id="rId11" Type="http://schemas.openxmlformats.org/officeDocument/2006/relationships/hyperlink" Target="https://github.com/IvanDobrovolsky/kyivnotkiev" TargetMode="External"/><Relationship Id="rId10" Type="http://schemas.openxmlformats.org/officeDocument/2006/relationships/hyperlink" Target="https://huggingface.co/datasets/KyivNotKiev/corpus" TargetMode="External"/><Relationship Id="rId12" Type="http://schemas.openxmlformats.org/officeDocument/2006/relationships/hyperlink" Target="https://kyivnotkiev.org" TargetMode="External"/><Relationship Id="rId9"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_rels/footnotes.xml.rels><?xml version='1.0' encoding='UTF-8' standalone='yes'?>
<Relationships xmlns="http://schemas.openxmlformats.org/package/2006/relationships"><Relationship Id="rId68" Type="http://schemas.openxmlformats.org/officeDocument/2006/relationships/hyperlink" Target="https://en.wikipedia.org/wiki/KyivNotKiev" TargetMode="External"/><Relationship Id="rId69" Type="http://schemas.openxmlformats.org/officeDocument/2006/relationships/hyperlink" Target="https://en.wikipedia.org/wiki/List_of_Ukrainian_place_names_affected_by_derussification" TargetMode="External"/><Relationship Id="rId11" Type="http://schemas.openxmlformats.org/officeDocument/2006/relationships/hyperlink" Target="https://github.com/IvanDobrovolsky/kyivnotkiev" TargetMode="External"/><Relationship Id="rId10" Type="http://schemas.openxmlformats.org/officeDocument/2006/relationships/hyperlink" Target="https://huggingface.co/datasets/KyivNotKiev/corpus" TargetMode="External"/><Relationship Id="rId12" Type="http://schemas.openxmlformats.org/officeDocument/2006/relationships/hyperlink" Target="https://kyivnotkie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#KyivNotKiev: A Large-Scale Computational Study of Ukrainian Toponym Adoption</dc:title>
  <dc:creator>Ivan Dobrovolskyi ivan@kyivnotkiev.org https://kyivnotkiev.org</dc:creator>
  <cp:keywords/>
  <dcterms:created xsi:type="dcterms:W3CDTF">2026-04-05T07:05:55Z</dcterms:created>
  <dcterms:modified xsi:type="dcterms:W3CDTF">2026-04-05T07:05:55Z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2018, Ukraine’s Ministry of Foreign Affairs launched #KyivNotKiev—a campaign to change how English-language media spells Ukrainian place names. We present the largest computational study of toponym adoption to date, scanning over 90 billion records across 7 datasets and extracting 40 million toponym matches—including 39.6M news article references, 573M Wikipedia pageviews, and 379K academic papers—tracking 55 Ukrainian–Russian spelling pairs from 2010 to 2026. Our big data analysis reveals that adoption is highly domain-dependent (cross-source spread: 54 percentage points median), with an OLS regression model explaining 87% of adoption variance (R^2 = 0.87).Going beyond frequency counting, we construct a 29,938-text corpus from 4 sources, annotated via Llama 3.1 70B for discourse context (10 categories) and sentiment. Fine-tuning DeBERTa-v3-large on these labels achieves F_1 = 88.8\% (accuracy 90.1%, seed stability \sigma = 0.34pp across 3 seeds), confirming that the labels capture learnable signal. Our key finding is that toponym variant choice functions as a discourse marker: “Chernobyl” co-occurs with gaming and entertainment contexts while “Chornobyl” appears in nuclear policy discourse; “Kiev” persists in food recipes while “Kyiv” dominates war reporting. We identify six distinct adoption mechanisms—cultural fossilization, brand lock-in, war-driven adoption, identity framing, citation inertia, and naming as resistance—demonstrating that adoption is not a binary switch but a multi-dimensional, discourse-dependent phenomenon.All data, code, and trained models are publicly available.</vt:lpwstr>
  </property>
  <property fmtid="{D5CDD505-2E9C-101B-9397-08002B2CF9AE}" pid="3" name="date">
    <vt:lpwstr/>
  </property>
</Properties>
</file>