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E158B" w14:textId="55D8FBB5" w:rsidR="00C65994" w:rsidRPr="007A4B14" w:rsidRDefault="007A4B14" w:rsidP="007A4B14">
      <w:pPr>
        <w:jc w:val="center"/>
        <w:rPr>
          <w:b/>
          <w:bCs/>
          <w:sz w:val="28"/>
          <w:szCs w:val="28"/>
        </w:rPr>
      </w:pPr>
      <w:r w:rsidRPr="007A4B14">
        <w:rPr>
          <w:b/>
          <w:bCs/>
          <w:sz w:val="28"/>
          <w:szCs w:val="28"/>
        </w:rPr>
        <w:t>Završni rad – plan aktivnosti</w:t>
      </w:r>
    </w:p>
    <w:p w14:paraId="48E017A3" w14:textId="77777777" w:rsidR="007A4B14" w:rsidRDefault="007A4B14"/>
    <w:p w14:paraId="5075C5A3" w14:textId="587F23E5" w:rsidR="007A4B14" w:rsidRDefault="007A4B14">
      <w:r>
        <w:t>Student:</w:t>
      </w:r>
      <w:r w:rsidR="0093627C">
        <w:t xml:space="preserve"> Ivan Džanija</w:t>
      </w:r>
    </w:p>
    <w:p w14:paraId="2E0C4118" w14:textId="766D172F" w:rsidR="007A4B14" w:rsidRDefault="007A4B14">
      <w:r>
        <w:t>JMBAG:</w:t>
      </w:r>
      <w:r w:rsidR="0093627C">
        <w:t xml:space="preserve"> 0036547433</w:t>
      </w:r>
    </w:p>
    <w:p w14:paraId="20A00520" w14:textId="11F5FE84" w:rsidR="007A4B14" w:rsidRDefault="007A4B14">
      <w:r>
        <w:t>Naslov rada:</w:t>
      </w:r>
      <w:r w:rsidR="0093627C">
        <w:t xml:space="preserve"> </w:t>
      </w:r>
      <w:r w:rsidR="0093627C">
        <w:t>Razvoj aplikacije za procjenu rizika u investicijskim portfeljima uz pomoć Monte Carlo simulacija</w:t>
      </w:r>
    </w:p>
    <w:p w14:paraId="404D5465" w14:textId="711994CF" w:rsidR="007A4B14" w:rsidRDefault="007A4B14">
      <w:r>
        <w:t>Zadatak:</w:t>
      </w:r>
    </w:p>
    <w:p w14:paraId="19E2E7BA" w14:textId="2A640F78" w:rsidR="0093627C" w:rsidRDefault="0093627C" w:rsidP="0093627C">
      <w:r>
        <w:t>Monte Carlo simulacije su moćan alat koji investitorima pomaže u procjeni rizika i potencijalnih povrata na</w:t>
      </w:r>
      <w:r>
        <w:t xml:space="preserve"> </w:t>
      </w:r>
      <w:r>
        <w:t>ulaganja u investicijskim portfeljima. Ova metoda omogućuje investitorima da bolje razumiju raspon mogućih</w:t>
      </w:r>
      <w:r>
        <w:t xml:space="preserve"> </w:t>
      </w:r>
      <w:r>
        <w:t>ishoda i donose informiranije odluke o alokaciji imovine. Cilj ovog završnog rada je razviti aplikaciju koja</w:t>
      </w:r>
      <w:r>
        <w:t xml:space="preserve"> </w:t>
      </w:r>
      <w:r>
        <w:t>implementira Monte Carlo simulacije za procjenu rizika i potencijalnih povrata u investicijskim portfeljima.</w:t>
      </w:r>
      <w:r>
        <w:t xml:space="preserve"> </w:t>
      </w:r>
      <w:r>
        <w:t>Aplikacija treba koristiti javno dostupne podatke o kretanju cijena različitih vrijednosnih papira te omogućiti</w:t>
      </w:r>
      <w:r>
        <w:t xml:space="preserve"> </w:t>
      </w:r>
      <w:r>
        <w:t>korisnicima analizu osjetljivosti portfelja na promjene tržišnih uvjeta. Ključne funkcionalnosti uključuju</w:t>
      </w:r>
      <w:r>
        <w:t xml:space="preserve"> </w:t>
      </w:r>
      <w:r>
        <w:t>generiranje velikog broja simulacija kako bi se procijenio raspon mogućih ishoda, vizualizaciju rezultata u obliku</w:t>
      </w:r>
      <w:r>
        <w:t xml:space="preserve"> </w:t>
      </w:r>
      <w:r>
        <w:t>distribucija i ključnih metrika rizika te intuitivno korisničko sučelje koje olakšava donošenje informiranih odluka o</w:t>
      </w:r>
      <w:r>
        <w:t xml:space="preserve"> </w:t>
      </w:r>
      <w:r>
        <w:t>alokaciji imovine. U sklopu rada potrebno je detaljno dokumentirati razvijenu aplikaciju, prikazati reprezentativne</w:t>
      </w:r>
      <w:r>
        <w:t xml:space="preserve"> </w:t>
      </w:r>
      <w:r>
        <w:t>slučajeve uporabe, te kritički analizirati prednosti i ograničenja razvijenog rješenja. Radu treba priložiti izvorni</w:t>
      </w:r>
      <w:r>
        <w:t xml:space="preserve"> </w:t>
      </w:r>
      <w:r>
        <w:t>programski kod, korištene skupove podataka i upute za korištenje aplikacije.</w:t>
      </w:r>
    </w:p>
    <w:p w14:paraId="0E46D70E" w14:textId="2703BEE4" w:rsidR="00217AE2" w:rsidRDefault="007A4B14">
      <w:pPr>
        <w:rPr>
          <w:color w:val="538135" w:themeColor="accent6" w:themeShade="BF"/>
        </w:rPr>
      </w:pPr>
      <w:r w:rsidRPr="007A4B14">
        <w:rPr>
          <w:b/>
          <w:bCs/>
          <w:sz w:val="28"/>
          <w:szCs w:val="28"/>
        </w:rPr>
        <w:t>Skica rada po poglavljima:</w:t>
      </w:r>
      <w:r w:rsidRPr="007A4B14">
        <w:rPr>
          <w:b/>
          <w:bCs/>
          <w:sz w:val="28"/>
          <w:szCs w:val="28"/>
        </w:rPr>
        <w:br/>
      </w:r>
      <w:r w:rsidRPr="007A4B14">
        <w:rPr>
          <w:color w:val="538135" w:themeColor="accent6" w:themeShade="BF"/>
        </w:rPr>
        <w:t>(ovdje razradite strukturu rada</w:t>
      </w:r>
      <w:r w:rsidR="00B528D2">
        <w:rPr>
          <w:color w:val="538135" w:themeColor="accent6" w:themeShade="BF"/>
        </w:rPr>
        <w:t xml:space="preserve"> po poglavljima</w:t>
      </w:r>
      <w:r w:rsidRPr="007A4B14">
        <w:rPr>
          <w:color w:val="538135" w:themeColor="accent6" w:themeShade="BF"/>
        </w:rPr>
        <w:t>. Ovo nije nepromjenjivo i može se mijenjati s novim spoznajama/saznanjima/dogovorima tijekom semestra</w:t>
      </w:r>
      <w:r w:rsidR="00B528D2">
        <w:rPr>
          <w:color w:val="538135" w:themeColor="accent6" w:themeShade="BF"/>
        </w:rPr>
        <w:t>. Na početku je uvijek Uvod, na kraju Zaključak</w:t>
      </w:r>
      <w:r w:rsidRPr="007A4B14">
        <w:rPr>
          <w:color w:val="538135" w:themeColor="accent6" w:themeShade="BF"/>
        </w:rPr>
        <w:t>)</w:t>
      </w:r>
    </w:p>
    <w:p w14:paraId="0E43C40E" w14:textId="76834A60" w:rsidR="00217AE2" w:rsidRDefault="00217AE2">
      <w:pPr>
        <w:rPr>
          <w:color w:val="538135" w:themeColor="accent6" w:themeShade="BF"/>
        </w:rPr>
      </w:pPr>
      <w:r>
        <w:rPr>
          <w:color w:val="538135" w:themeColor="accent6" w:themeShade="BF"/>
        </w:rPr>
        <w:t>Uvod</w:t>
      </w:r>
      <w:r w:rsidR="0080599B">
        <w:rPr>
          <w:color w:val="538135" w:themeColor="accent6" w:themeShade="BF"/>
        </w:rPr>
        <w:t xml:space="preserve"> – opis ideje rješenja i motivacije za rješavanje danog problema na visokoj razini.</w:t>
      </w:r>
    </w:p>
    <w:p w14:paraId="360FBA91" w14:textId="2C27957F" w:rsidR="0080599B" w:rsidRDefault="0080599B">
      <w:pPr>
        <w:rPr>
          <w:color w:val="538135" w:themeColor="accent6" w:themeShade="BF"/>
        </w:rPr>
      </w:pPr>
      <w:r>
        <w:rPr>
          <w:color w:val="538135" w:themeColor="accent6" w:themeShade="BF"/>
        </w:rPr>
        <w:t>Teorija portfelja  - matematički model portfelja, ideje kvantifikacije rizika i volatilnosti, pojam i razlog diverzifikacije.</w:t>
      </w:r>
    </w:p>
    <w:p w14:paraId="67E6BBAE" w14:textId="034AD67D" w:rsidR="0080599B" w:rsidRDefault="0080599B">
      <w:pPr>
        <w:rPr>
          <w:color w:val="538135" w:themeColor="accent6" w:themeShade="BF"/>
        </w:rPr>
      </w:pPr>
      <w:r>
        <w:rPr>
          <w:color w:val="538135" w:themeColor="accent6" w:themeShade="BF"/>
        </w:rPr>
        <w:t>?Analiza glavnih komponenti – matematičko kvantificiranje diverzifikacije, jednostavna i efektivna metoda</w:t>
      </w:r>
    </w:p>
    <w:p w14:paraId="20B6463E" w14:textId="716653DF" w:rsidR="0080599B" w:rsidRDefault="00EC62BE">
      <w:pPr>
        <w:rPr>
          <w:color w:val="538135" w:themeColor="accent6" w:themeShade="BF"/>
        </w:rPr>
      </w:pPr>
      <w:r>
        <w:rPr>
          <w:color w:val="538135" w:themeColor="accent6" w:themeShade="BF"/>
        </w:rPr>
        <w:t>Model – prikaz modela konačnog rješenja bez specifičnosti implementacije. Odabir dionica/</w:t>
      </w:r>
      <w:proofErr w:type="spellStart"/>
      <w:r>
        <w:rPr>
          <w:color w:val="538135" w:themeColor="accent6" w:themeShade="BF"/>
        </w:rPr>
        <w:t>kriptovaluta</w:t>
      </w:r>
      <w:proofErr w:type="spellEnd"/>
      <w:r>
        <w:rPr>
          <w:color w:val="538135" w:themeColor="accent6" w:themeShade="BF"/>
        </w:rPr>
        <w:t xml:space="preserve"> i evaluacija odabira, provođenje računa inicijalne razdiobe slučajnog vektora, određivanje parametara distribucije, provođenje simulacije, mogućnosti interpretacije konačnog rezultata.</w:t>
      </w:r>
    </w:p>
    <w:p w14:paraId="5EDFABD5" w14:textId="668798F8" w:rsidR="00EC62BE" w:rsidRDefault="00EC62BE">
      <w:pPr>
        <w:rPr>
          <w:color w:val="538135" w:themeColor="accent6" w:themeShade="BF"/>
        </w:rPr>
      </w:pPr>
      <w:r>
        <w:rPr>
          <w:color w:val="538135" w:themeColor="accent6" w:themeShade="BF"/>
        </w:rPr>
        <w:t>Izvedba – detaljni opisi alata i provjera točnosti implementacije i sl.</w:t>
      </w:r>
    </w:p>
    <w:p w14:paraId="6D900514" w14:textId="0D7CB4D5" w:rsidR="00EC62BE" w:rsidRDefault="00EC62BE">
      <w:pPr>
        <w:rPr>
          <w:color w:val="538135" w:themeColor="accent6" w:themeShade="BF"/>
        </w:rPr>
      </w:pPr>
      <w:r>
        <w:rPr>
          <w:color w:val="538135" w:themeColor="accent6" w:themeShade="BF"/>
        </w:rPr>
        <w:t>Diskusija – izrađeni model je prekomjerno kompleksan ili jednostavan, ne funkcionira u određenim uvjetima ili funkcionira odlično u drugim uvjetima, brzina implementiranog rješenja i praktična primjena, opis testnih slučajeva i rezultata (očekivano ili ne)</w:t>
      </w:r>
    </w:p>
    <w:p w14:paraId="4D02269A" w14:textId="77777777" w:rsidR="0080599B" w:rsidRDefault="0080599B">
      <w:pPr>
        <w:rPr>
          <w:color w:val="538135" w:themeColor="accent6" w:themeShade="BF"/>
        </w:rPr>
      </w:pPr>
    </w:p>
    <w:p w14:paraId="0085706D" w14:textId="77777777" w:rsidR="0080599B" w:rsidRPr="007A4B14" w:rsidRDefault="0080599B">
      <w:pPr>
        <w:rPr>
          <w:color w:val="538135" w:themeColor="accent6" w:themeShade="BF"/>
        </w:rPr>
      </w:pPr>
    </w:p>
    <w:p w14:paraId="3A19AF4E" w14:textId="77777777" w:rsidR="007A4B14" w:rsidRDefault="007A4B14"/>
    <w:p w14:paraId="4EC2A1A1" w14:textId="77777777" w:rsidR="007A4B14" w:rsidRDefault="007A4B14"/>
    <w:p w14:paraId="1D8AC995" w14:textId="4B81AD0F" w:rsidR="007A4B14" w:rsidRPr="007A4B14" w:rsidRDefault="007A4B14">
      <w:pPr>
        <w:rPr>
          <w:color w:val="538135" w:themeColor="accent6" w:themeShade="BF"/>
        </w:rPr>
      </w:pPr>
      <w:r w:rsidRPr="007A4B14">
        <w:rPr>
          <w:b/>
          <w:bCs/>
          <w:sz w:val="28"/>
          <w:szCs w:val="28"/>
        </w:rPr>
        <w:t>Plan aktivnosti:</w:t>
      </w:r>
      <w:r>
        <w:rPr>
          <w:b/>
          <w:bCs/>
          <w:sz w:val="28"/>
          <w:szCs w:val="28"/>
        </w:rPr>
        <w:br/>
      </w:r>
      <w:r w:rsidRPr="007A4B14">
        <w:rPr>
          <w:color w:val="538135" w:themeColor="accent6" w:themeShade="BF"/>
        </w:rPr>
        <w:t xml:space="preserve">(ovdje navodite planirane aktivnosti. Moguće je da se ove aktivnosti tijekom semestra i mijenjaju kao i da se konačno neki datumi pomaknu. Plan će vam pomoći da na vrijeme izvedete sve što smatrate potrebnim za izradu rada. U aktivnosti </w:t>
      </w:r>
      <w:r w:rsidR="007B0A7A">
        <w:rPr>
          <w:color w:val="538135" w:themeColor="accent6" w:themeShade="BF"/>
        </w:rPr>
        <w:t>možete navoditi</w:t>
      </w:r>
      <w:r w:rsidRPr="007A4B14">
        <w:rPr>
          <w:color w:val="538135" w:themeColor="accent6" w:themeShade="BF"/>
        </w:rPr>
        <w:t xml:space="preserve"> primjerice: proučavanje literature i </w:t>
      </w:r>
      <w:r>
        <w:rPr>
          <w:color w:val="538135" w:themeColor="accent6" w:themeShade="BF"/>
        </w:rPr>
        <w:t>dokumentiranje…; pribavljanje skupa/skupova podataka, čišćenje i priprema podataka za izradu modela, prikupljanje zahtjeva potencijalnih korisnika, analiza zahtjeva potencijalnih korisnika, upoznavanje s tehnologijom, razvoj modela strojnog učenja, …</w:t>
      </w:r>
      <w:r w:rsidR="007B0A7A">
        <w:rPr>
          <w:color w:val="538135" w:themeColor="accent6" w:themeShade="BF"/>
        </w:rPr>
        <w:t>Aktivnosti će se od rada do rada razlikovati već prema tome na što je rad usmjeren.</w:t>
      </w:r>
      <w:r w:rsidR="00B528D2">
        <w:rPr>
          <w:color w:val="538135" w:themeColor="accent6" w:themeShade="BF"/>
        </w:rPr>
        <w:br/>
      </w:r>
      <w:r w:rsidR="00B528D2" w:rsidRPr="00B528D2">
        <w:rPr>
          <w:color w:val="538135" w:themeColor="accent6" w:themeShade="BF"/>
        </w:rPr>
        <w:t>Uzeti u obzir do kada treba predati rad na čitanje.</w:t>
      </w:r>
      <w:r w:rsidR="007B0A7A">
        <w:rPr>
          <w:color w:val="538135" w:themeColor="accent6" w:themeShade="BF"/>
        </w:rPr>
        <w:t>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46"/>
        <w:gridCol w:w="4224"/>
        <w:gridCol w:w="1323"/>
        <w:gridCol w:w="2390"/>
      </w:tblGrid>
      <w:tr w:rsidR="007A4B14" w14:paraId="6AD05B02" w14:textId="77777777" w:rsidTr="007A4B14">
        <w:tc>
          <w:tcPr>
            <w:tcW w:w="850" w:type="dxa"/>
          </w:tcPr>
          <w:p w14:paraId="1F1152DB" w14:textId="5E30AD8B" w:rsidR="007A4B14" w:rsidRDefault="007A4B14">
            <w:r>
              <w:t xml:space="preserve">R. br. </w:t>
            </w:r>
          </w:p>
        </w:tc>
        <w:tc>
          <w:tcPr>
            <w:tcW w:w="4253" w:type="dxa"/>
          </w:tcPr>
          <w:p w14:paraId="691B154B" w14:textId="4F9EEDB0" w:rsidR="007A4B14" w:rsidRDefault="007A4B14">
            <w:r>
              <w:t>Aktivnost</w:t>
            </w:r>
          </w:p>
        </w:tc>
        <w:tc>
          <w:tcPr>
            <w:tcW w:w="1325" w:type="dxa"/>
          </w:tcPr>
          <w:p w14:paraId="4F0CDC80" w14:textId="5703CCA7" w:rsidR="007A4B14" w:rsidRDefault="007A4B14">
            <w:r>
              <w:t>Predviđeni rok</w:t>
            </w:r>
            <w:r w:rsidR="007B0A7A">
              <w:t xml:space="preserve"> (datum)</w:t>
            </w:r>
          </w:p>
        </w:tc>
        <w:tc>
          <w:tcPr>
            <w:tcW w:w="2355" w:type="dxa"/>
          </w:tcPr>
          <w:p w14:paraId="3B73F6D0" w14:textId="4489B912" w:rsidR="007A4B14" w:rsidRDefault="007A4B14">
            <w:r>
              <w:t>Rezultat aktivnosti</w:t>
            </w:r>
          </w:p>
        </w:tc>
      </w:tr>
      <w:tr w:rsidR="0093627C" w14:paraId="6995F057" w14:textId="77777777" w:rsidTr="007A4B14">
        <w:tc>
          <w:tcPr>
            <w:tcW w:w="850" w:type="dxa"/>
          </w:tcPr>
          <w:p w14:paraId="7EF0B5AE" w14:textId="2AD028E1" w:rsidR="0093627C" w:rsidRDefault="0093627C">
            <w:r>
              <w:t>1.</w:t>
            </w:r>
          </w:p>
        </w:tc>
        <w:tc>
          <w:tcPr>
            <w:tcW w:w="4253" w:type="dxa"/>
          </w:tcPr>
          <w:p w14:paraId="7376D9E1" w14:textId="2F9C7CFD" w:rsidR="0093627C" w:rsidRDefault="00936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Učenje alata </w:t>
            </w:r>
            <w:proofErr w:type="spellStart"/>
            <w:r>
              <w:rPr>
                <w:sz w:val="24"/>
                <w:szCs w:val="24"/>
              </w:rPr>
              <w:t>Latex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5" w:type="dxa"/>
          </w:tcPr>
          <w:p w14:paraId="31918EBD" w14:textId="77777777" w:rsidR="0093627C" w:rsidRDefault="0093627C"/>
        </w:tc>
        <w:tc>
          <w:tcPr>
            <w:tcW w:w="2355" w:type="dxa"/>
          </w:tcPr>
          <w:p w14:paraId="381DC832" w14:textId="77777777" w:rsidR="0093627C" w:rsidRDefault="0093627C"/>
        </w:tc>
      </w:tr>
      <w:tr w:rsidR="007A4B14" w14:paraId="6B028164" w14:textId="77777777" w:rsidTr="007A4B14">
        <w:tc>
          <w:tcPr>
            <w:tcW w:w="850" w:type="dxa"/>
          </w:tcPr>
          <w:p w14:paraId="184AE003" w14:textId="78DDD782" w:rsidR="007A4B14" w:rsidRDefault="0093627C">
            <w:r>
              <w:t>2</w:t>
            </w:r>
            <w:r w:rsidR="00EC6AF1">
              <w:t>.</w:t>
            </w:r>
          </w:p>
        </w:tc>
        <w:tc>
          <w:tcPr>
            <w:tcW w:w="4253" w:type="dxa"/>
          </w:tcPr>
          <w:p w14:paraId="56404693" w14:textId="221BBF9B" w:rsidR="007A4B14" w:rsidRPr="007A4B14" w:rsidRDefault="00EC6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Prikupljanje skupa podataka </w:t>
            </w:r>
            <w:r w:rsidR="00E17A15">
              <w:rPr>
                <w:sz w:val="24"/>
                <w:szCs w:val="24"/>
              </w:rPr>
              <w:t>i literature</w:t>
            </w:r>
          </w:p>
        </w:tc>
        <w:tc>
          <w:tcPr>
            <w:tcW w:w="1325" w:type="dxa"/>
          </w:tcPr>
          <w:p w14:paraId="7AE05023" w14:textId="25CEB793" w:rsidR="007A4B14" w:rsidRDefault="00E17A15">
            <w:r>
              <w:t>1.4.2025.</w:t>
            </w:r>
          </w:p>
        </w:tc>
        <w:tc>
          <w:tcPr>
            <w:tcW w:w="2355" w:type="dxa"/>
          </w:tcPr>
          <w:p w14:paraId="0A6F4DA6" w14:textId="0730691B" w:rsidR="007A4B14" w:rsidRDefault="007A4B14"/>
        </w:tc>
      </w:tr>
      <w:tr w:rsidR="007A4B14" w14:paraId="2E1AA9AD" w14:textId="77777777" w:rsidTr="007A4B14">
        <w:tc>
          <w:tcPr>
            <w:tcW w:w="850" w:type="dxa"/>
          </w:tcPr>
          <w:p w14:paraId="60CD8B45" w14:textId="5D1AE278" w:rsidR="007A4B14" w:rsidRDefault="0093627C">
            <w:r>
              <w:t>3</w:t>
            </w:r>
            <w:r w:rsidR="00E17A15">
              <w:t>.</w:t>
            </w:r>
          </w:p>
        </w:tc>
        <w:tc>
          <w:tcPr>
            <w:tcW w:w="4253" w:type="dxa"/>
          </w:tcPr>
          <w:p w14:paraId="5A2AB9FC" w14:textId="68B7AB3B" w:rsidR="007A4B14" w:rsidRDefault="00E17A15">
            <w:r>
              <w:t>Proučavanje teorije optimizacije portfelja, simulacija, rizika i volatilnosti</w:t>
            </w:r>
          </w:p>
        </w:tc>
        <w:tc>
          <w:tcPr>
            <w:tcW w:w="1325" w:type="dxa"/>
          </w:tcPr>
          <w:p w14:paraId="342DDEAD" w14:textId="3C6037CA" w:rsidR="007A4B14" w:rsidRDefault="00E17A15">
            <w:r>
              <w:t>8.4.2025.</w:t>
            </w:r>
          </w:p>
        </w:tc>
        <w:tc>
          <w:tcPr>
            <w:tcW w:w="2355" w:type="dxa"/>
          </w:tcPr>
          <w:p w14:paraId="5EC45C6D" w14:textId="5922740B" w:rsidR="007A4B14" w:rsidRDefault="00217AE2">
            <w:r>
              <w:t xml:space="preserve">Skupljanje teorijske podloge i odabira načina modeliranja(distribucija, metoda procjene i sl.) </w:t>
            </w:r>
          </w:p>
        </w:tc>
      </w:tr>
      <w:tr w:rsidR="007A4B14" w14:paraId="09F71D40" w14:textId="77777777" w:rsidTr="007B0A7A">
        <w:tc>
          <w:tcPr>
            <w:tcW w:w="850" w:type="dxa"/>
            <w:tcBorders>
              <w:bottom w:val="single" w:sz="4" w:space="0" w:color="auto"/>
            </w:tcBorders>
          </w:tcPr>
          <w:p w14:paraId="5ED62E3D" w14:textId="1A5741D3" w:rsidR="007A4B14" w:rsidRDefault="0093627C">
            <w:r>
              <w:t>4</w:t>
            </w:r>
            <w:r w:rsidR="00E17A15">
              <w:t>.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4FEC10C9" w14:textId="14B48391" w:rsidR="007A4B14" w:rsidRDefault="0036380F">
            <w:r>
              <w:t>Isprobavanje raznih implementacija/ optimizacija i postavljanje test primjera</w:t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14:paraId="2E4CDF0A" w14:textId="7C987019" w:rsidR="007A4B14" w:rsidRDefault="0093627C">
            <w:r>
              <w:t>1.5</w:t>
            </w:r>
            <w:r w:rsidR="0036380F">
              <w:t>.2025.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6154B50" w14:textId="528E86C7" w:rsidR="007A4B14" w:rsidRDefault="00217AE2">
            <w:r>
              <w:t>Pronalazak rješenja koje daje najbolje rezultate uz određenu razinu kompleksnosti</w:t>
            </w:r>
          </w:p>
        </w:tc>
      </w:tr>
      <w:tr w:rsidR="007B0A7A" w14:paraId="260CE77E" w14:textId="77777777" w:rsidTr="007A4B14">
        <w:tc>
          <w:tcPr>
            <w:tcW w:w="850" w:type="dxa"/>
          </w:tcPr>
          <w:p w14:paraId="4B4C4433" w14:textId="3950A0F4" w:rsidR="007B0A7A" w:rsidRDefault="0093627C">
            <w:r>
              <w:t>5.</w:t>
            </w:r>
          </w:p>
        </w:tc>
        <w:tc>
          <w:tcPr>
            <w:tcW w:w="4253" w:type="dxa"/>
          </w:tcPr>
          <w:p w14:paraId="47E14420" w14:textId="08F51513" w:rsidR="007B0A7A" w:rsidRDefault="0036380F">
            <w:r>
              <w:t xml:space="preserve">Prilagođavanje skupa podataka </w:t>
            </w:r>
            <w:r w:rsidR="0093627C">
              <w:t>i generiranje značajki</w:t>
            </w:r>
          </w:p>
        </w:tc>
        <w:tc>
          <w:tcPr>
            <w:tcW w:w="1325" w:type="dxa"/>
          </w:tcPr>
          <w:p w14:paraId="27FF532C" w14:textId="3E57DBEB" w:rsidR="007B0A7A" w:rsidRDefault="0093627C">
            <w:r>
              <w:t>5</w:t>
            </w:r>
            <w:r w:rsidR="0036380F">
              <w:t>.</w:t>
            </w:r>
            <w:r>
              <w:t>5</w:t>
            </w:r>
            <w:r w:rsidR="0036380F">
              <w:t>.202</w:t>
            </w:r>
            <w:r w:rsidR="00217AE2">
              <w:t>5</w:t>
            </w:r>
            <w:r w:rsidR="0036380F">
              <w:t>.</w:t>
            </w:r>
          </w:p>
        </w:tc>
        <w:tc>
          <w:tcPr>
            <w:tcW w:w="2355" w:type="dxa"/>
          </w:tcPr>
          <w:p w14:paraId="092686C5" w14:textId="77777777" w:rsidR="007B0A7A" w:rsidRDefault="007B0A7A"/>
        </w:tc>
      </w:tr>
      <w:tr w:rsidR="007B0A7A" w14:paraId="2E0640BD" w14:textId="77777777" w:rsidTr="007A4B14">
        <w:tc>
          <w:tcPr>
            <w:tcW w:w="850" w:type="dxa"/>
          </w:tcPr>
          <w:p w14:paraId="61DFDE1C" w14:textId="5FFF505C" w:rsidR="007B0A7A" w:rsidRDefault="0093627C">
            <w:r>
              <w:t>6.</w:t>
            </w:r>
          </w:p>
        </w:tc>
        <w:tc>
          <w:tcPr>
            <w:tcW w:w="4253" w:type="dxa"/>
          </w:tcPr>
          <w:p w14:paraId="6458BEF9" w14:textId="0C3B0C04" w:rsidR="007B0A7A" w:rsidRDefault="0093627C">
            <w:r>
              <w:t xml:space="preserve">Implementacija konačnog rješenja i optimizacije rješenja + dokumentiranje uz samu implementaciju </w:t>
            </w:r>
          </w:p>
        </w:tc>
        <w:tc>
          <w:tcPr>
            <w:tcW w:w="1325" w:type="dxa"/>
          </w:tcPr>
          <w:p w14:paraId="3BA33864" w14:textId="33EF3985" w:rsidR="007B0A7A" w:rsidRDefault="00217AE2">
            <w:r>
              <w:t>25.5.2025.</w:t>
            </w:r>
          </w:p>
        </w:tc>
        <w:tc>
          <w:tcPr>
            <w:tcW w:w="2355" w:type="dxa"/>
          </w:tcPr>
          <w:p w14:paraId="7FB7174F" w14:textId="2CDC24B9" w:rsidR="007B0A7A" w:rsidRDefault="00217AE2">
            <w:r>
              <w:t>Gotovo programsko rješenje + sav postupak i teorija dokumentirana u radu</w:t>
            </w:r>
          </w:p>
        </w:tc>
      </w:tr>
      <w:tr w:rsidR="007B0A7A" w14:paraId="2A4FE666" w14:textId="77777777" w:rsidTr="007A4B14">
        <w:tc>
          <w:tcPr>
            <w:tcW w:w="850" w:type="dxa"/>
          </w:tcPr>
          <w:p w14:paraId="1D7862B5" w14:textId="55BFBCFA" w:rsidR="007B0A7A" w:rsidRDefault="00217AE2">
            <w:r>
              <w:t>7.</w:t>
            </w:r>
          </w:p>
        </w:tc>
        <w:tc>
          <w:tcPr>
            <w:tcW w:w="4253" w:type="dxa"/>
          </w:tcPr>
          <w:p w14:paraId="2E6F794B" w14:textId="123A6304" w:rsidR="007B0A7A" w:rsidRDefault="00217AE2">
            <w:r>
              <w:t>Finalno oblikovanje rada</w:t>
            </w:r>
          </w:p>
        </w:tc>
        <w:tc>
          <w:tcPr>
            <w:tcW w:w="1325" w:type="dxa"/>
          </w:tcPr>
          <w:p w14:paraId="058D0D4A" w14:textId="6BBD0CBE" w:rsidR="007B0A7A" w:rsidRDefault="00217AE2">
            <w:r>
              <w:t>4.6.2025.</w:t>
            </w:r>
          </w:p>
        </w:tc>
        <w:tc>
          <w:tcPr>
            <w:tcW w:w="2355" w:type="dxa"/>
          </w:tcPr>
          <w:p w14:paraId="0F437799" w14:textId="15738AA5" w:rsidR="007B0A7A" w:rsidRDefault="00217AE2">
            <w:r>
              <w:t>Prijedlog konačne inačice rada</w:t>
            </w:r>
          </w:p>
        </w:tc>
      </w:tr>
    </w:tbl>
    <w:p w14:paraId="5D2D236B" w14:textId="77777777" w:rsidR="007A4B14" w:rsidRDefault="007A4B14"/>
    <w:p w14:paraId="3E94A4F9" w14:textId="77777777" w:rsidR="007A4B14" w:rsidRDefault="007A4B14"/>
    <w:p w14:paraId="47915E82" w14:textId="77777777" w:rsidR="00B528D2" w:rsidRDefault="00B528D2"/>
    <w:p w14:paraId="332649BF" w14:textId="77777777" w:rsidR="00B528D2" w:rsidRDefault="00B528D2"/>
    <w:p w14:paraId="0569E4BD" w14:textId="77777777" w:rsidR="00B528D2" w:rsidRDefault="00B528D2"/>
    <w:p w14:paraId="175E3906" w14:textId="77777777" w:rsidR="00B528D2" w:rsidRDefault="00B528D2"/>
    <w:p w14:paraId="62A302CC" w14:textId="0CBDF1CB" w:rsidR="00B528D2" w:rsidRPr="00B528D2" w:rsidRDefault="00B528D2" w:rsidP="00B528D2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B528D2">
        <w:rPr>
          <w:b/>
          <w:bCs/>
          <w:color w:val="538135" w:themeColor="accent6" w:themeShade="BF"/>
          <w:sz w:val="32"/>
          <w:szCs w:val="32"/>
        </w:rPr>
        <w:t>Naslov rada</w:t>
      </w:r>
    </w:p>
    <w:p w14:paraId="6D06C5C1" w14:textId="77777777" w:rsidR="00B528D2" w:rsidRPr="00B528D2" w:rsidRDefault="00B528D2">
      <w:pPr>
        <w:rPr>
          <w:color w:val="538135" w:themeColor="accent6" w:themeShade="BF"/>
        </w:rPr>
      </w:pPr>
    </w:p>
    <w:p w14:paraId="3851DEC8" w14:textId="77777777" w:rsidR="00B528D2" w:rsidRPr="00B528D2" w:rsidRDefault="00B528D2">
      <w:pPr>
        <w:rPr>
          <w:color w:val="538135" w:themeColor="accent6" w:themeShade="BF"/>
        </w:rPr>
      </w:pPr>
    </w:p>
    <w:p w14:paraId="69E65679" w14:textId="22AF40B3" w:rsidR="00B528D2" w:rsidRPr="00B528D2" w:rsidRDefault="00B528D2">
      <w:pPr>
        <w:rPr>
          <w:color w:val="538135" w:themeColor="accent6" w:themeShade="BF"/>
        </w:rPr>
      </w:pPr>
      <w:r w:rsidRPr="00B528D2">
        <w:rPr>
          <w:color w:val="538135" w:themeColor="accent6" w:themeShade="BF"/>
        </w:rPr>
        <w:t>U nastavku pisati rad.</w:t>
      </w:r>
    </w:p>
    <w:sectPr w:rsidR="00B528D2" w:rsidRPr="00B52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5B5D"/>
    <w:multiLevelType w:val="hybridMultilevel"/>
    <w:tmpl w:val="DF845D70"/>
    <w:lvl w:ilvl="0" w:tplc="E654DDAE">
      <w:start w:val="13"/>
      <w:numFmt w:val="bullet"/>
      <w:lvlText w:val="-"/>
      <w:lvlJc w:val="left"/>
      <w:pPr>
        <w:ind w:left="408" w:hanging="360"/>
      </w:pPr>
      <w:rPr>
        <w:rFonts w:ascii="Aptos" w:eastAsia="Aptos" w:hAnsi="Aptos" w:cs="Times New Roman" w:hint="default"/>
      </w:rPr>
    </w:lvl>
    <w:lvl w:ilvl="1" w:tplc="0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2AB6381"/>
    <w:multiLevelType w:val="hybridMultilevel"/>
    <w:tmpl w:val="C2D288D2"/>
    <w:lvl w:ilvl="0" w:tplc="42FC0DB8">
      <w:start w:val="1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786657643">
    <w:abstractNumId w:val="0"/>
  </w:num>
  <w:num w:numId="2" w16cid:durableId="709957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14"/>
    <w:rsid w:val="00013E41"/>
    <w:rsid w:val="00112F95"/>
    <w:rsid w:val="00190272"/>
    <w:rsid w:val="00217AE2"/>
    <w:rsid w:val="0036380F"/>
    <w:rsid w:val="00583AC6"/>
    <w:rsid w:val="00583D63"/>
    <w:rsid w:val="00643823"/>
    <w:rsid w:val="007A4B14"/>
    <w:rsid w:val="007B0A7A"/>
    <w:rsid w:val="0080599B"/>
    <w:rsid w:val="008434C2"/>
    <w:rsid w:val="00855E1F"/>
    <w:rsid w:val="0093627C"/>
    <w:rsid w:val="009567E5"/>
    <w:rsid w:val="00AD24D6"/>
    <w:rsid w:val="00AE0827"/>
    <w:rsid w:val="00B528D2"/>
    <w:rsid w:val="00C65994"/>
    <w:rsid w:val="00CC57D5"/>
    <w:rsid w:val="00D472E0"/>
    <w:rsid w:val="00E17A15"/>
    <w:rsid w:val="00E55310"/>
    <w:rsid w:val="00EC62BE"/>
    <w:rsid w:val="00EC6AF1"/>
    <w:rsid w:val="00ED01A7"/>
    <w:rsid w:val="00FD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2E6E1"/>
  <w15:chartTrackingRefBased/>
  <w15:docId w15:val="{9EB8E7D0-9D59-47F1-A403-B4D2D565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Vranić</dc:creator>
  <cp:keywords/>
  <dc:description/>
  <cp:lastModifiedBy>Ivan Džanija</cp:lastModifiedBy>
  <cp:revision>4</cp:revision>
  <dcterms:created xsi:type="dcterms:W3CDTF">2025-03-19T07:46:00Z</dcterms:created>
  <dcterms:modified xsi:type="dcterms:W3CDTF">2025-03-26T14:59:00Z</dcterms:modified>
</cp:coreProperties>
</file>