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7B8" w:rsidRPr="00AC644D" w:rsidRDefault="004B07B8" w:rsidP="004B07B8">
      <w:pPr>
        <w:jc w:val="center"/>
        <w:rPr>
          <w:b/>
          <w:sz w:val="24"/>
          <w:szCs w:val="24"/>
        </w:rPr>
      </w:pPr>
      <w:r w:rsidRPr="00AC644D">
        <w:rPr>
          <w:b/>
          <w:sz w:val="24"/>
          <w:szCs w:val="24"/>
        </w:rPr>
        <w:t>Relatório DUPONT ALGAR</w:t>
      </w:r>
    </w:p>
    <w:p w:rsidR="002F13D5" w:rsidRPr="00643814" w:rsidRDefault="007813C9" w:rsidP="00260E80">
      <w:pPr>
        <w:pStyle w:val="PargrafodaLista"/>
        <w:numPr>
          <w:ilvl w:val="0"/>
          <w:numId w:val="2"/>
        </w:numPr>
        <w:rPr>
          <w:sz w:val="16"/>
          <w:szCs w:val="16"/>
        </w:rPr>
      </w:pPr>
      <w:r w:rsidRPr="007813C9">
        <w:rPr>
          <w:b/>
          <w:sz w:val="24"/>
          <w:szCs w:val="24"/>
        </w:rPr>
        <w:t>M</w:t>
      </w:r>
      <w:r w:rsidR="00744D84" w:rsidRPr="007813C9">
        <w:rPr>
          <w:b/>
          <w:sz w:val="24"/>
          <w:szCs w:val="24"/>
        </w:rPr>
        <w:t>argem de lucro operacional</w:t>
      </w:r>
      <w:r w:rsidR="00873BBC">
        <w:rPr>
          <w:b/>
          <w:sz w:val="24"/>
          <w:szCs w:val="24"/>
        </w:rPr>
        <w:t xml:space="preserve"> </w:t>
      </w:r>
      <w:r w:rsidR="00873BBC" w:rsidRPr="00873BBC">
        <w:rPr>
          <w:sz w:val="24"/>
          <w:szCs w:val="24"/>
        </w:rPr>
        <w:t>(</w:t>
      </w:r>
      <w:r w:rsidR="00873BBC">
        <w:rPr>
          <w:b/>
          <w:sz w:val="24"/>
          <w:szCs w:val="24"/>
        </w:rPr>
        <w:t>MLO</w:t>
      </w:r>
      <w:r w:rsidR="00152360">
        <w:rPr>
          <w:b/>
          <w:sz w:val="24"/>
          <w:szCs w:val="24"/>
        </w:rPr>
        <w:t xml:space="preserve"> </w:t>
      </w:r>
      <w:r w:rsidR="00873BBC" w:rsidRPr="00873BBC">
        <w:rPr>
          <w:sz w:val="24"/>
          <w:szCs w:val="24"/>
        </w:rPr>
        <w:t>-</w:t>
      </w:r>
      <w:r w:rsidR="00643814" w:rsidRPr="00643814"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</w:t>
      </w:r>
      <w:r w:rsidR="00643814" w:rsidRPr="00643814">
        <w:rPr>
          <w:rFonts w:cstheme="minorHAnsi"/>
          <w:color w:val="111111"/>
          <w:sz w:val="20"/>
          <w:szCs w:val="20"/>
          <w:shd w:val="clear" w:color="auto" w:fill="FFFFFF"/>
        </w:rPr>
        <w:t>Mede o quanto de lucro operacional a empresa c</w:t>
      </w:r>
      <w:r w:rsidR="00152360">
        <w:rPr>
          <w:rFonts w:cstheme="minorHAnsi"/>
          <w:color w:val="111111"/>
          <w:sz w:val="20"/>
          <w:szCs w:val="20"/>
          <w:shd w:val="clear" w:color="auto" w:fill="FFFFFF"/>
        </w:rPr>
        <w:t>onsegue gerar para cada R$ 1 de</w:t>
      </w:r>
      <w:r w:rsidR="0029707B">
        <w:rPr>
          <w:rFonts w:cstheme="minorHAnsi"/>
          <w:color w:val="111111"/>
          <w:sz w:val="20"/>
          <w:szCs w:val="20"/>
          <w:shd w:val="clear" w:color="auto" w:fill="FFFFFF"/>
        </w:rPr>
        <w:t xml:space="preserve"> venda</w:t>
      </w:r>
      <w:r w:rsidR="00873BBC">
        <w:rPr>
          <w:rFonts w:cstheme="minorHAnsi"/>
          <w:color w:val="111111"/>
          <w:sz w:val="20"/>
          <w:szCs w:val="20"/>
          <w:shd w:val="clear" w:color="auto" w:fill="FFFFFF"/>
        </w:rPr>
        <w:t>)</w:t>
      </w:r>
      <w:r w:rsidR="00643814">
        <w:rPr>
          <w:rFonts w:cstheme="minorHAnsi"/>
          <w:color w:val="111111"/>
          <w:sz w:val="20"/>
          <w:szCs w:val="20"/>
          <w:shd w:val="clear" w:color="auto" w:fill="FFFFFF"/>
        </w:rPr>
        <w:t>:</w:t>
      </w:r>
    </w:p>
    <w:p w:rsidR="00AC644D" w:rsidRPr="007813C9" w:rsidRDefault="000C3559" w:rsidP="002F13D5">
      <w:pPr>
        <w:pStyle w:val="PargrafodaLista"/>
        <w:ind w:left="360"/>
        <w:rPr>
          <w:sz w:val="12"/>
          <w:szCs w:val="12"/>
        </w:rPr>
      </w:pPr>
      <w:r w:rsidRPr="007813C9">
        <w:rPr>
          <w:sz w:val="24"/>
          <w:szCs w:val="24"/>
        </w:rPr>
        <w:t>E</w:t>
      </w:r>
      <w:r w:rsidR="0021019D" w:rsidRPr="007813C9">
        <w:rPr>
          <w:sz w:val="24"/>
          <w:szCs w:val="24"/>
        </w:rPr>
        <w:t xml:space="preserve">m </w:t>
      </w:r>
      <w:r w:rsidRPr="007813C9">
        <w:rPr>
          <w:sz w:val="24"/>
          <w:szCs w:val="24"/>
        </w:rPr>
        <w:t xml:space="preserve">2015 </w:t>
      </w:r>
      <w:r w:rsidR="0021019D" w:rsidRPr="007813C9">
        <w:rPr>
          <w:sz w:val="24"/>
          <w:szCs w:val="24"/>
        </w:rPr>
        <w:t>aumentou o EBIT</w:t>
      </w:r>
      <w:r w:rsidR="00FD1C38" w:rsidRPr="007813C9">
        <w:rPr>
          <w:sz w:val="24"/>
          <w:szCs w:val="24"/>
        </w:rPr>
        <w:t xml:space="preserve"> em 29% (</w:t>
      </w:r>
      <w:r w:rsidR="00C4389E" w:rsidRPr="007813C9">
        <w:rPr>
          <w:sz w:val="24"/>
          <w:szCs w:val="24"/>
        </w:rPr>
        <w:t>as vendas subiram</w:t>
      </w:r>
      <w:r w:rsidR="00744D84" w:rsidRPr="007813C9">
        <w:rPr>
          <w:sz w:val="24"/>
          <w:szCs w:val="24"/>
        </w:rPr>
        <w:t xml:space="preserve"> 9% </w:t>
      </w:r>
      <w:r w:rsidR="00C4389E" w:rsidRPr="007813C9">
        <w:rPr>
          <w:sz w:val="24"/>
          <w:szCs w:val="24"/>
        </w:rPr>
        <w:t xml:space="preserve">e </w:t>
      </w:r>
      <w:r w:rsidR="00FD1C38" w:rsidRPr="007813C9">
        <w:rPr>
          <w:sz w:val="24"/>
          <w:szCs w:val="24"/>
        </w:rPr>
        <w:t xml:space="preserve">as despesas </w:t>
      </w:r>
      <w:r w:rsidR="00AC644D" w:rsidRPr="007813C9">
        <w:rPr>
          <w:sz w:val="24"/>
          <w:szCs w:val="24"/>
        </w:rPr>
        <w:t xml:space="preserve">apenas </w:t>
      </w:r>
      <w:r w:rsidR="00744D84" w:rsidRPr="007813C9">
        <w:rPr>
          <w:sz w:val="24"/>
          <w:szCs w:val="24"/>
        </w:rPr>
        <w:t>6%</w:t>
      </w:r>
      <w:r w:rsidR="00FD1C38" w:rsidRPr="007813C9">
        <w:rPr>
          <w:sz w:val="24"/>
          <w:szCs w:val="24"/>
        </w:rPr>
        <w:t>)</w:t>
      </w:r>
      <w:r w:rsidR="006F1AFC" w:rsidRPr="007813C9">
        <w:rPr>
          <w:sz w:val="24"/>
          <w:szCs w:val="24"/>
        </w:rPr>
        <w:t xml:space="preserve"> </w:t>
      </w:r>
      <w:r w:rsidR="00C4389E" w:rsidRPr="007813C9">
        <w:rPr>
          <w:sz w:val="24"/>
          <w:szCs w:val="24"/>
        </w:rPr>
        <w:t xml:space="preserve">em relação a 2014. </w:t>
      </w:r>
      <w:r w:rsidR="006F1AFC" w:rsidRPr="007813C9">
        <w:rPr>
          <w:sz w:val="24"/>
          <w:szCs w:val="24"/>
        </w:rPr>
        <w:t xml:space="preserve">Resultando, assim, no aumento da </w:t>
      </w:r>
      <w:r w:rsidR="00FD1C38" w:rsidRPr="007813C9">
        <w:rPr>
          <w:sz w:val="24"/>
          <w:szCs w:val="24"/>
        </w:rPr>
        <w:t>MLO</w:t>
      </w:r>
      <w:r w:rsidR="006F1AFC" w:rsidRPr="007813C9">
        <w:rPr>
          <w:sz w:val="24"/>
          <w:szCs w:val="24"/>
        </w:rPr>
        <w:t xml:space="preserve"> e por consequência no ROIC.</w:t>
      </w:r>
      <w:r w:rsidR="00AC644D" w:rsidRPr="007813C9">
        <w:rPr>
          <w:sz w:val="24"/>
          <w:szCs w:val="24"/>
        </w:rPr>
        <w:t xml:space="preserve"> </w:t>
      </w:r>
      <w:r w:rsidR="006F1AFC" w:rsidRPr="007813C9">
        <w:rPr>
          <w:sz w:val="24"/>
          <w:szCs w:val="24"/>
        </w:rPr>
        <w:t xml:space="preserve">Em 2016 tanto o EBIT, como as despesas e as vendas tiveram aumentos iguais a 6% em relação a 2015. O que fez manter </w:t>
      </w:r>
      <w:r w:rsidR="00FD1C38" w:rsidRPr="007813C9">
        <w:rPr>
          <w:sz w:val="24"/>
          <w:szCs w:val="24"/>
        </w:rPr>
        <w:t>a</w:t>
      </w:r>
      <w:r w:rsidR="006F1AFC" w:rsidRPr="007813C9">
        <w:rPr>
          <w:sz w:val="24"/>
          <w:szCs w:val="24"/>
        </w:rPr>
        <w:t xml:space="preserve"> </w:t>
      </w:r>
      <w:r w:rsidR="00FD1C38" w:rsidRPr="007813C9">
        <w:rPr>
          <w:sz w:val="24"/>
          <w:szCs w:val="24"/>
        </w:rPr>
        <w:t xml:space="preserve">MLO igual de </w:t>
      </w:r>
      <w:r w:rsidR="006F1AFC" w:rsidRPr="007813C9">
        <w:rPr>
          <w:sz w:val="24"/>
          <w:szCs w:val="24"/>
        </w:rPr>
        <w:t>2016.</w:t>
      </w:r>
      <w:r w:rsidR="00AC644D" w:rsidRPr="007813C9">
        <w:rPr>
          <w:sz w:val="24"/>
          <w:szCs w:val="24"/>
        </w:rPr>
        <w:t xml:space="preserve"> </w:t>
      </w:r>
      <w:r w:rsidR="006F1AFC" w:rsidRPr="007813C9">
        <w:rPr>
          <w:sz w:val="24"/>
          <w:szCs w:val="24"/>
        </w:rPr>
        <w:t>Em2017 tanto as despesas como as ven</w:t>
      </w:r>
      <w:r w:rsidR="00FD1C38" w:rsidRPr="007813C9">
        <w:rPr>
          <w:sz w:val="24"/>
          <w:szCs w:val="24"/>
        </w:rPr>
        <w:t>das tiveram aumentos iguais a 6 % em relação a 2016, poré</w:t>
      </w:r>
      <w:r w:rsidR="006F1AFC" w:rsidRPr="007813C9">
        <w:rPr>
          <w:sz w:val="24"/>
          <w:szCs w:val="24"/>
        </w:rPr>
        <w:t xml:space="preserve">m o </w:t>
      </w:r>
      <w:r w:rsidR="00FD1C38" w:rsidRPr="007813C9">
        <w:rPr>
          <w:sz w:val="24"/>
          <w:szCs w:val="24"/>
        </w:rPr>
        <w:t xml:space="preserve">EBIT subiu 11% resultando no MLO </w:t>
      </w:r>
      <w:r w:rsidR="006F1AFC" w:rsidRPr="007813C9">
        <w:rPr>
          <w:sz w:val="24"/>
          <w:szCs w:val="24"/>
        </w:rPr>
        <w:t xml:space="preserve">um pouco maior que </w:t>
      </w:r>
      <w:r w:rsidR="00FD1C38" w:rsidRPr="007813C9">
        <w:rPr>
          <w:sz w:val="24"/>
          <w:szCs w:val="24"/>
        </w:rPr>
        <w:t>2015</w:t>
      </w:r>
      <w:r w:rsidR="006F1AFC" w:rsidRPr="007813C9">
        <w:rPr>
          <w:sz w:val="24"/>
          <w:szCs w:val="24"/>
        </w:rPr>
        <w:t xml:space="preserve">. </w:t>
      </w:r>
      <w:r w:rsidR="00C4389E" w:rsidRPr="007813C9">
        <w:rPr>
          <w:sz w:val="24"/>
          <w:szCs w:val="24"/>
        </w:rPr>
        <w:t>E</w:t>
      </w:r>
      <w:r w:rsidR="0021019D" w:rsidRPr="007813C9">
        <w:rPr>
          <w:sz w:val="24"/>
          <w:szCs w:val="24"/>
        </w:rPr>
        <w:t>m</w:t>
      </w:r>
      <w:r w:rsidR="00C4389E" w:rsidRPr="007813C9">
        <w:rPr>
          <w:sz w:val="24"/>
          <w:szCs w:val="24"/>
        </w:rPr>
        <w:t xml:space="preserve"> 201</w:t>
      </w:r>
      <w:r w:rsidR="00F81B95" w:rsidRPr="007813C9">
        <w:rPr>
          <w:sz w:val="24"/>
          <w:szCs w:val="24"/>
        </w:rPr>
        <w:t>8</w:t>
      </w:r>
      <w:r w:rsidR="00C4389E" w:rsidRPr="007813C9">
        <w:rPr>
          <w:sz w:val="24"/>
          <w:szCs w:val="24"/>
        </w:rPr>
        <w:t xml:space="preserve"> </w:t>
      </w:r>
      <w:r w:rsidR="0021019D" w:rsidRPr="007813C9">
        <w:rPr>
          <w:sz w:val="24"/>
          <w:szCs w:val="24"/>
        </w:rPr>
        <w:t>aumentou o EBIT</w:t>
      </w:r>
      <w:r w:rsidR="00FD1C38" w:rsidRPr="007813C9">
        <w:rPr>
          <w:sz w:val="24"/>
          <w:szCs w:val="24"/>
        </w:rPr>
        <w:t xml:space="preserve"> 39% (</w:t>
      </w:r>
      <w:r w:rsidR="00875FD3" w:rsidRPr="007813C9">
        <w:rPr>
          <w:sz w:val="24"/>
          <w:szCs w:val="24"/>
        </w:rPr>
        <w:t>as</w:t>
      </w:r>
      <w:r w:rsidR="00C4389E" w:rsidRPr="007813C9">
        <w:rPr>
          <w:sz w:val="24"/>
          <w:szCs w:val="24"/>
        </w:rPr>
        <w:t xml:space="preserve"> vendas subiram</w:t>
      </w:r>
      <w:r w:rsidR="00F81B95" w:rsidRPr="007813C9">
        <w:rPr>
          <w:sz w:val="24"/>
          <w:szCs w:val="24"/>
        </w:rPr>
        <w:t xml:space="preserve"> 6</w:t>
      </w:r>
      <w:r w:rsidR="00C4389E" w:rsidRPr="007813C9">
        <w:rPr>
          <w:sz w:val="24"/>
          <w:szCs w:val="24"/>
        </w:rPr>
        <w:t xml:space="preserve">% e as </w:t>
      </w:r>
      <w:r w:rsidR="00875FD3" w:rsidRPr="007813C9">
        <w:rPr>
          <w:sz w:val="24"/>
          <w:szCs w:val="24"/>
        </w:rPr>
        <w:t>despesas</w:t>
      </w:r>
      <w:r w:rsidR="00F81B95" w:rsidRPr="007813C9">
        <w:rPr>
          <w:sz w:val="24"/>
          <w:szCs w:val="24"/>
        </w:rPr>
        <w:t xml:space="preserve"> nã</w:t>
      </w:r>
      <w:r w:rsidR="00FD1C38" w:rsidRPr="007813C9">
        <w:rPr>
          <w:sz w:val="24"/>
          <w:szCs w:val="24"/>
        </w:rPr>
        <w:t>o tiveram aumento significativo)</w:t>
      </w:r>
      <w:r w:rsidR="00F81B95" w:rsidRPr="007813C9">
        <w:rPr>
          <w:sz w:val="24"/>
          <w:szCs w:val="24"/>
        </w:rPr>
        <w:t xml:space="preserve"> </w:t>
      </w:r>
      <w:r w:rsidR="00C4389E" w:rsidRPr="007813C9">
        <w:rPr>
          <w:sz w:val="24"/>
          <w:szCs w:val="24"/>
        </w:rPr>
        <w:t>em relação a 201</w:t>
      </w:r>
      <w:r w:rsidR="00F81B95" w:rsidRPr="007813C9">
        <w:rPr>
          <w:sz w:val="24"/>
          <w:szCs w:val="24"/>
        </w:rPr>
        <w:t>7</w:t>
      </w:r>
      <w:r w:rsidR="00C4389E" w:rsidRPr="007813C9">
        <w:rPr>
          <w:sz w:val="24"/>
          <w:szCs w:val="24"/>
        </w:rPr>
        <w:t xml:space="preserve">. </w:t>
      </w:r>
      <w:r w:rsidR="006F1AFC" w:rsidRPr="007813C9">
        <w:rPr>
          <w:sz w:val="24"/>
          <w:szCs w:val="24"/>
        </w:rPr>
        <w:t xml:space="preserve"> Resultando</w:t>
      </w:r>
      <w:r w:rsidR="007813C9">
        <w:rPr>
          <w:sz w:val="24"/>
          <w:szCs w:val="24"/>
        </w:rPr>
        <w:t>, assim,</w:t>
      </w:r>
      <w:r w:rsidR="006F1AFC" w:rsidRPr="007813C9">
        <w:rPr>
          <w:sz w:val="24"/>
          <w:szCs w:val="24"/>
        </w:rPr>
        <w:t xml:space="preserve"> no aumento da </w:t>
      </w:r>
      <w:r w:rsidR="007813C9" w:rsidRPr="007813C9">
        <w:rPr>
          <w:sz w:val="24"/>
          <w:szCs w:val="24"/>
        </w:rPr>
        <w:t xml:space="preserve">MLO </w:t>
      </w:r>
      <w:r w:rsidR="00875FD3" w:rsidRPr="007813C9">
        <w:rPr>
          <w:sz w:val="24"/>
          <w:szCs w:val="24"/>
        </w:rPr>
        <w:t xml:space="preserve">e </w:t>
      </w:r>
      <w:r w:rsidR="006F1AFC" w:rsidRPr="007813C9">
        <w:rPr>
          <w:sz w:val="24"/>
          <w:szCs w:val="24"/>
        </w:rPr>
        <w:t>no ROIC.</w:t>
      </w:r>
      <w:r w:rsidR="00AC644D" w:rsidRPr="007813C9">
        <w:rPr>
          <w:sz w:val="24"/>
          <w:szCs w:val="24"/>
        </w:rPr>
        <w:t xml:space="preserve"> </w:t>
      </w:r>
      <w:r w:rsidR="00CE5561">
        <w:rPr>
          <w:sz w:val="24"/>
          <w:szCs w:val="24"/>
        </w:rPr>
        <w:t xml:space="preserve">Por fim, em </w:t>
      </w:r>
      <w:r w:rsidR="006F1AFC" w:rsidRPr="007813C9">
        <w:rPr>
          <w:sz w:val="24"/>
          <w:szCs w:val="24"/>
        </w:rPr>
        <w:t xml:space="preserve">2019 as despesas não tiveram aumento significativo comparado a 2018 e 2017 e mesmo as vendas subindo apenas 1% em relação a 2018 foi o bastante para fazer o EBIT </w:t>
      </w:r>
      <w:r w:rsidR="00875FD3" w:rsidRPr="007813C9">
        <w:rPr>
          <w:sz w:val="24"/>
          <w:szCs w:val="24"/>
        </w:rPr>
        <w:t xml:space="preserve">subir </w:t>
      </w:r>
      <w:r w:rsidR="006F1AFC" w:rsidRPr="007813C9">
        <w:rPr>
          <w:sz w:val="24"/>
          <w:szCs w:val="24"/>
        </w:rPr>
        <w:t xml:space="preserve">7% resultando no aumento </w:t>
      </w:r>
      <w:r w:rsidR="007813C9" w:rsidRPr="007813C9">
        <w:rPr>
          <w:sz w:val="24"/>
          <w:szCs w:val="24"/>
        </w:rPr>
        <w:t>MLO</w:t>
      </w:r>
      <w:r w:rsidR="006F1AFC" w:rsidRPr="007813C9">
        <w:rPr>
          <w:sz w:val="24"/>
          <w:szCs w:val="24"/>
        </w:rPr>
        <w:t xml:space="preserve"> e </w:t>
      </w:r>
      <w:r w:rsidR="007813C9" w:rsidRPr="007813C9">
        <w:rPr>
          <w:sz w:val="24"/>
          <w:szCs w:val="24"/>
        </w:rPr>
        <w:t xml:space="preserve">por consequência no </w:t>
      </w:r>
      <w:r w:rsidR="006F1AFC" w:rsidRPr="007813C9">
        <w:rPr>
          <w:sz w:val="24"/>
          <w:szCs w:val="24"/>
        </w:rPr>
        <w:t>ROIC.</w:t>
      </w:r>
    </w:p>
    <w:p w:rsidR="002F13D5" w:rsidRPr="00873BBC" w:rsidRDefault="007813C9" w:rsidP="00884A1A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73BBC">
        <w:rPr>
          <w:b/>
          <w:sz w:val="24"/>
          <w:szCs w:val="24"/>
        </w:rPr>
        <w:t>G</w:t>
      </w:r>
      <w:r w:rsidR="0021019D" w:rsidRPr="00873BBC">
        <w:rPr>
          <w:b/>
          <w:sz w:val="24"/>
          <w:szCs w:val="24"/>
        </w:rPr>
        <w:t xml:space="preserve">iro </w:t>
      </w:r>
      <w:r w:rsidR="0021019D" w:rsidRPr="00873BBC">
        <w:rPr>
          <w:rFonts w:cstheme="minorHAnsi"/>
          <w:b/>
          <w:sz w:val="24"/>
          <w:szCs w:val="24"/>
        </w:rPr>
        <w:t>de capital</w:t>
      </w:r>
      <w:r w:rsidR="00873BBC" w:rsidRPr="00873BBC">
        <w:rPr>
          <w:rFonts w:cstheme="minorHAnsi"/>
          <w:b/>
          <w:sz w:val="20"/>
          <w:szCs w:val="20"/>
        </w:rPr>
        <w:t xml:space="preserve"> </w:t>
      </w:r>
      <w:r w:rsidR="00873BBC" w:rsidRPr="00873BBC">
        <w:rPr>
          <w:rFonts w:cstheme="minorHAnsi"/>
          <w:sz w:val="20"/>
          <w:szCs w:val="20"/>
        </w:rPr>
        <w:t>(</w:t>
      </w:r>
      <w:r w:rsidR="00873BBC" w:rsidRPr="00873BBC">
        <w:rPr>
          <w:rFonts w:cstheme="minorHAnsi"/>
          <w:b/>
          <w:sz w:val="24"/>
          <w:szCs w:val="24"/>
        </w:rPr>
        <w:t>GC</w:t>
      </w:r>
      <w:r w:rsidR="00152360">
        <w:rPr>
          <w:rFonts w:cstheme="minorHAnsi"/>
          <w:b/>
          <w:sz w:val="24"/>
          <w:szCs w:val="24"/>
        </w:rPr>
        <w:t xml:space="preserve"> </w:t>
      </w:r>
      <w:r w:rsidR="00873BBC" w:rsidRPr="00873BBC">
        <w:rPr>
          <w:rFonts w:cstheme="minorHAnsi"/>
          <w:sz w:val="20"/>
          <w:szCs w:val="20"/>
        </w:rPr>
        <w:t>-</w:t>
      </w:r>
      <w:r w:rsidR="00152360">
        <w:rPr>
          <w:rFonts w:cstheme="minorHAnsi"/>
          <w:sz w:val="20"/>
          <w:szCs w:val="20"/>
        </w:rPr>
        <w:t xml:space="preserve"> Mede a receita (vendas</w:t>
      </w:r>
      <w:r w:rsidR="00884A1A" w:rsidRPr="00FD78ED">
        <w:rPr>
          <w:rFonts w:cstheme="minorHAnsi"/>
          <w:sz w:val="20"/>
          <w:szCs w:val="20"/>
        </w:rPr>
        <w:t>) por unidade de investimento</w:t>
      </w:r>
      <w:r w:rsidR="00152360">
        <w:rPr>
          <w:rFonts w:cstheme="minorHAnsi"/>
          <w:sz w:val="20"/>
          <w:szCs w:val="20"/>
        </w:rPr>
        <w:t>. R</w:t>
      </w:r>
      <w:r w:rsidR="00FD78ED" w:rsidRPr="00FD78ED">
        <w:rPr>
          <w:rFonts w:cstheme="minorHAnsi"/>
          <w:color w:val="111111"/>
          <w:sz w:val="20"/>
          <w:szCs w:val="20"/>
          <w:shd w:val="clear" w:color="auto" w:fill="FFFFFF"/>
        </w:rPr>
        <w:t>efere</w:t>
      </w:r>
      <w:r w:rsidR="00152360">
        <w:rPr>
          <w:rFonts w:cstheme="minorHAnsi"/>
          <w:color w:val="111111"/>
          <w:sz w:val="20"/>
          <w:szCs w:val="20"/>
          <w:shd w:val="clear" w:color="auto" w:fill="FFFFFF"/>
        </w:rPr>
        <w:t xml:space="preserve">-se ao ciclo operacional: </w:t>
      </w:r>
      <w:r w:rsidR="00FD78ED" w:rsidRPr="00FD78ED">
        <w:rPr>
          <w:rFonts w:cstheme="minorHAnsi"/>
          <w:color w:val="111111"/>
          <w:sz w:val="20"/>
          <w:szCs w:val="20"/>
          <w:shd w:val="clear" w:color="auto" w:fill="FFFFFF"/>
        </w:rPr>
        <w:t>representa a liquidez da operação disponível</w:t>
      </w:r>
      <w:r w:rsidR="00873BBC" w:rsidRPr="00FD78ED">
        <w:rPr>
          <w:rFonts w:cstheme="minorHAnsi"/>
          <w:color w:val="111111"/>
          <w:sz w:val="20"/>
          <w:szCs w:val="20"/>
          <w:shd w:val="clear" w:color="auto" w:fill="FFFFFF"/>
        </w:rPr>
        <w:t>):</w:t>
      </w:r>
    </w:p>
    <w:p w:rsidR="0021019D" w:rsidRDefault="00F978C0" w:rsidP="002F13D5">
      <w:pPr>
        <w:pStyle w:val="PargrafodaLista"/>
        <w:ind w:left="360"/>
        <w:rPr>
          <w:sz w:val="24"/>
          <w:szCs w:val="24"/>
        </w:rPr>
      </w:pPr>
      <w:r w:rsidRPr="00873BBC">
        <w:rPr>
          <w:rFonts w:cstheme="minorHAnsi"/>
          <w:sz w:val="24"/>
          <w:szCs w:val="24"/>
        </w:rPr>
        <w:t>E</w:t>
      </w:r>
      <w:r w:rsidR="006A7841" w:rsidRPr="00873BBC">
        <w:rPr>
          <w:rFonts w:cstheme="minorHAnsi"/>
          <w:sz w:val="24"/>
          <w:szCs w:val="24"/>
        </w:rPr>
        <w:t>m</w:t>
      </w:r>
      <w:r w:rsidRPr="00873BBC">
        <w:rPr>
          <w:rFonts w:cstheme="minorHAnsi"/>
          <w:sz w:val="24"/>
          <w:szCs w:val="24"/>
        </w:rPr>
        <w:t xml:space="preserve"> 2015 o capital investido </w:t>
      </w:r>
      <w:r w:rsidR="007813C9" w:rsidRPr="00385539">
        <w:rPr>
          <w:b/>
          <w:sz w:val="24"/>
          <w:szCs w:val="24"/>
        </w:rPr>
        <w:t>(CI)</w:t>
      </w:r>
      <w:r w:rsidR="007813C9" w:rsidRPr="00385539">
        <w:rPr>
          <w:sz w:val="24"/>
          <w:szCs w:val="24"/>
        </w:rPr>
        <w:t xml:space="preserve"> </w:t>
      </w:r>
      <w:r w:rsidRPr="00385539">
        <w:rPr>
          <w:sz w:val="24"/>
          <w:szCs w:val="24"/>
        </w:rPr>
        <w:t xml:space="preserve">aumentou em 13% </w:t>
      </w:r>
      <w:r w:rsidR="007813C9" w:rsidRPr="00385539">
        <w:rPr>
          <w:sz w:val="24"/>
          <w:szCs w:val="24"/>
        </w:rPr>
        <w:t xml:space="preserve">(apesar da NCG cair 27%, o </w:t>
      </w:r>
      <w:r w:rsidRPr="00385539">
        <w:rPr>
          <w:sz w:val="24"/>
          <w:szCs w:val="24"/>
        </w:rPr>
        <w:t>caixa</w:t>
      </w:r>
      <w:r w:rsidR="007813C9" w:rsidRPr="00385539">
        <w:rPr>
          <w:sz w:val="24"/>
          <w:szCs w:val="24"/>
        </w:rPr>
        <w:t xml:space="preserve"> aumentou 30% e os ativos fixos</w:t>
      </w:r>
      <w:r w:rsidRPr="00385539">
        <w:rPr>
          <w:sz w:val="24"/>
          <w:szCs w:val="24"/>
        </w:rPr>
        <w:t xml:space="preserve"> 11%</w:t>
      </w:r>
      <w:r w:rsidR="007813C9" w:rsidRPr="00385539">
        <w:rPr>
          <w:sz w:val="24"/>
          <w:szCs w:val="24"/>
        </w:rPr>
        <w:t>)</w:t>
      </w:r>
      <w:r w:rsidR="00A01ACA" w:rsidRPr="00385539">
        <w:rPr>
          <w:sz w:val="24"/>
          <w:szCs w:val="24"/>
        </w:rPr>
        <w:t xml:space="preserve"> </w:t>
      </w:r>
      <w:r w:rsidR="00CE5561">
        <w:rPr>
          <w:sz w:val="24"/>
          <w:szCs w:val="24"/>
        </w:rPr>
        <w:t xml:space="preserve">e </w:t>
      </w:r>
      <w:r w:rsidR="007813C9" w:rsidRPr="00385539">
        <w:rPr>
          <w:sz w:val="24"/>
          <w:szCs w:val="24"/>
        </w:rPr>
        <w:t>mesmo as</w:t>
      </w:r>
      <w:r w:rsidR="001E68E9" w:rsidRPr="00385539">
        <w:rPr>
          <w:sz w:val="24"/>
          <w:szCs w:val="24"/>
        </w:rPr>
        <w:t xml:space="preserve"> vendas </w:t>
      </w:r>
      <w:r w:rsidR="007813C9" w:rsidRPr="00385539">
        <w:rPr>
          <w:sz w:val="24"/>
          <w:szCs w:val="24"/>
        </w:rPr>
        <w:t>subindo 9%</w:t>
      </w:r>
      <w:r w:rsidR="001E68E9" w:rsidRPr="00385539">
        <w:rPr>
          <w:sz w:val="24"/>
          <w:szCs w:val="24"/>
        </w:rPr>
        <w:t xml:space="preserve"> </w:t>
      </w:r>
      <w:r w:rsidR="00CE5561">
        <w:rPr>
          <w:sz w:val="24"/>
          <w:szCs w:val="24"/>
        </w:rPr>
        <w:t>fez o</w:t>
      </w:r>
      <w:r w:rsidRPr="00385539">
        <w:rPr>
          <w:sz w:val="24"/>
          <w:szCs w:val="24"/>
        </w:rPr>
        <w:t xml:space="preserve"> </w:t>
      </w:r>
      <w:r w:rsidR="007813C9" w:rsidRPr="00385539">
        <w:rPr>
          <w:sz w:val="24"/>
          <w:szCs w:val="24"/>
        </w:rPr>
        <w:t>GC</w:t>
      </w:r>
      <w:r w:rsidRPr="00385539">
        <w:rPr>
          <w:sz w:val="24"/>
          <w:szCs w:val="24"/>
        </w:rPr>
        <w:t xml:space="preserve"> </w:t>
      </w:r>
      <w:r w:rsidR="001E68E9" w:rsidRPr="00385539">
        <w:rPr>
          <w:sz w:val="24"/>
          <w:szCs w:val="24"/>
        </w:rPr>
        <w:t>diminu</w:t>
      </w:r>
      <w:r w:rsidR="00CE5561">
        <w:rPr>
          <w:sz w:val="24"/>
          <w:szCs w:val="24"/>
        </w:rPr>
        <w:t>ir 0,01 em relação a 2014</w:t>
      </w:r>
      <w:r w:rsidR="00AC644D" w:rsidRPr="00385539">
        <w:rPr>
          <w:sz w:val="24"/>
          <w:szCs w:val="24"/>
        </w:rPr>
        <w:t xml:space="preserve">. </w:t>
      </w:r>
      <w:r w:rsidR="006A7841" w:rsidRPr="00385539">
        <w:rPr>
          <w:sz w:val="24"/>
          <w:szCs w:val="24"/>
        </w:rPr>
        <w:t xml:space="preserve">Em 2016 e 2017 </w:t>
      </w:r>
      <w:r w:rsidR="00A01ACA" w:rsidRPr="00385539">
        <w:rPr>
          <w:sz w:val="24"/>
          <w:szCs w:val="24"/>
        </w:rPr>
        <w:t>tiveram o menor aumento de</w:t>
      </w:r>
      <w:r w:rsidR="006A7841" w:rsidRPr="00385539">
        <w:rPr>
          <w:sz w:val="24"/>
          <w:szCs w:val="24"/>
        </w:rPr>
        <w:t xml:space="preserve"> </w:t>
      </w:r>
      <w:r w:rsidR="00A01ACA" w:rsidRPr="00385539">
        <w:rPr>
          <w:sz w:val="24"/>
          <w:szCs w:val="24"/>
        </w:rPr>
        <w:t>CI</w:t>
      </w:r>
      <w:r w:rsidR="006A7841" w:rsidRPr="00385539">
        <w:rPr>
          <w:sz w:val="24"/>
          <w:szCs w:val="24"/>
        </w:rPr>
        <w:t xml:space="preserve"> </w:t>
      </w:r>
      <w:r w:rsidR="007813C9" w:rsidRPr="00385539">
        <w:rPr>
          <w:sz w:val="24"/>
          <w:szCs w:val="24"/>
        </w:rPr>
        <w:t xml:space="preserve">devido </w:t>
      </w:r>
      <w:r w:rsidR="00A01ACA" w:rsidRPr="00385539">
        <w:rPr>
          <w:sz w:val="24"/>
          <w:szCs w:val="24"/>
        </w:rPr>
        <w:t>a</w:t>
      </w:r>
      <w:r w:rsidR="007813C9" w:rsidRPr="00385539">
        <w:rPr>
          <w:sz w:val="24"/>
          <w:szCs w:val="24"/>
        </w:rPr>
        <w:t xml:space="preserve"> NCG </w:t>
      </w:r>
      <w:r w:rsidR="006A7841" w:rsidRPr="00385539">
        <w:rPr>
          <w:sz w:val="24"/>
          <w:szCs w:val="24"/>
        </w:rPr>
        <w:t>negativo</w:t>
      </w:r>
      <w:r w:rsidR="00A01ACA" w:rsidRPr="00385539">
        <w:rPr>
          <w:sz w:val="24"/>
          <w:szCs w:val="24"/>
        </w:rPr>
        <w:t>: em 2016 apenas</w:t>
      </w:r>
      <w:r w:rsidR="006A7841" w:rsidRPr="00385539">
        <w:rPr>
          <w:sz w:val="24"/>
          <w:szCs w:val="24"/>
        </w:rPr>
        <w:t xml:space="preserve"> 4%</w:t>
      </w:r>
      <w:r w:rsidR="00A01ACA" w:rsidRPr="00385539">
        <w:rPr>
          <w:sz w:val="24"/>
          <w:szCs w:val="24"/>
        </w:rPr>
        <w:t xml:space="preserve"> </w:t>
      </w:r>
      <w:r w:rsidR="006A7841" w:rsidRPr="00385539">
        <w:rPr>
          <w:sz w:val="24"/>
          <w:szCs w:val="24"/>
        </w:rPr>
        <w:t>e</w:t>
      </w:r>
      <w:r w:rsidR="00A01ACA" w:rsidRPr="00385539">
        <w:rPr>
          <w:sz w:val="24"/>
          <w:szCs w:val="24"/>
        </w:rPr>
        <w:t xml:space="preserve"> </w:t>
      </w:r>
      <w:r w:rsidR="006A7841" w:rsidRPr="00385539">
        <w:rPr>
          <w:sz w:val="24"/>
          <w:szCs w:val="24"/>
        </w:rPr>
        <w:t xml:space="preserve">2017 </w:t>
      </w:r>
      <w:r w:rsidR="00A01ACA" w:rsidRPr="00385539">
        <w:rPr>
          <w:sz w:val="24"/>
          <w:szCs w:val="24"/>
        </w:rPr>
        <w:t xml:space="preserve">com </w:t>
      </w:r>
      <w:r w:rsidR="00385539" w:rsidRPr="00385539">
        <w:rPr>
          <w:sz w:val="24"/>
          <w:szCs w:val="24"/>
        </w:rPr>
        <w:t xml:space="preserve">9% de aumento </w:t>
      </w:r>
      <w:r w:rsidR="006A7841" w:rsidRPr="00385539">
        <w:rPr>
          <w:sz w:val="24"/>
          <w:szCs w:val="24"/>
        </w:rPr>
        <w:t xml:space="preserve">no </w:t>
      </w:r>
      <w:r w:rsidR="007813C9" w:rsidRPr="00385539">
        <w:rPr>
          <w:sz w:val="24"/>
          <w:szCs w:val="24"/>
        </w:rPr>
        <w:t>CI</w:t>
      </w:r>
      <w:r w:rsidR="00385539" w:rsidRPr="00385539">
        <w:rPr>
          <w:sz w:val="24"/>
          <w:szCs w:val="24"/>
        </w:rPr>
        <w:t>.</w:t>
      </w:r>
      <w:r w:rsidR="00385539">
        <w:rPr>
          <w:sz w:val="24"/>
          <w:szCs w:val="24"/>
        </w:rPr>
        <w:t xml:space="preserve"> Assim, </w:t>
      </w:r>
      <w:r w:rsidR="00970569" w:rsidRPr="00385539">
        <w:rPr>
          <w:sz w:val="24"/>
          <w:szCs w:val="24"/>
        </w:rPr>
        <w:t xml:space="preserve">2016 </w:t>
      </w:r>
      <w:r w:rsidR="00CE5561">
        <w:rPr>
          <w:sz w:val="24"/>
          <w:szCs w:val="24"/>
        </w:rPr>
        <w:t>o</w:t>
      </w:r>
      <w:r w:rsidR="00385539">
        <w:rPr>
          <w:sz w:val="24"/>
          <w:szCs w:val="24"/>
        </w:rPr>
        <w:t xml:space="preserve"> </w:t>
      </w:r>
      <w:r w:rsidR="00A01ACA" w:rsidRPr="00385539">
        <w:rPr>
          <w:sz w:val="24"/>
          <w:szCs w:val="24"/>
        </w:rPr>
        <w:t xml:space="preserve">aumento </w:t>
      </w:r>
      <w:r w:rsidR="00CE5561">
        <w:rPr>
          <w:sz w:val="24"/>
          <w:szCs w:val="24"/>
        </w:rPr>
        <w:t xml:space="preserve">foi </w:t>
      </w:r>
      <w:r w:rsidR="00385539">
        <w:rPr>
          <w:sz w:val="24"/>
          <w:szCs w:val="24"/>
        </w:rPr>
        <w:t>bem menor no GC</w:t>
      </w:r>
      <w:r w:rsidR="00CE5561">
        <w:rPr>
          <w:sz w:val="24"/>
          <w:szCs w:val="24"/>
        </w:rPr>
        <w:t xml:space="preserve"> de 0,01 </w:t>
      </w:r>
      <w:r w:rsidR="00385539">
        <w:rPr>
          <w:sz w:val="24"/>
          <w:szCs w:val="24"/>
        </w:rPr>
        <w:t xml:space="preserve">e 2017 decaiu </w:t>
      </w:r>
      <w:r w:rsidR="00CE5561">
        <w:rPr>
          <w:sz w:val="24"/>
          <w:szCs w:val="24"/>
        </w:rPr>
        <w:t xml:space="preserve">0,02 </w:t>
      </w:r>
      <w:r w:rsidR="00385539">
        <w:rPr>
          <w:sz w:val="24"/>
          <w:szCs w:val="24"/>
        </w:rPr>
        <w:t>devido ao crescimento das</w:t>
      </w:r>
      <w:r w:rsidR="00970569" w:rsidRPr="00385539">
        <w:rPr>
          <w:sz w:val="24"/>
          <w:szCs w:val="24"/>
        </w:rPr>
        <w:t xml:space="preserve"> vendas </w:t>
      </w:r>
      <w:r w:rsidR="00CE5561">
        <w:rPr>
          <w:sz w:val="24"/>
          <w:szCs w:val="24"/>
        </w:rPr>
        <w:t xml:space="preserve">de 6% </w:t>
      </w:r>
      <w:r w:rsidR="00385539">
        <w:rPr>
          <w:sz w:val="24"/>
          <w:szCs w:val="24"/>
        </w:rPr>
        <w:t>não ter sido</w:t>
      </w:r>
      <w:r w:rsidR="00970569" w:rsidRPr="00385539">
        <w:rPr>
          <w:sz w:val="24"/>
          <w:szCs w:val="24"/>
        </w:rPr>
        <w:t xml:space="preserve"> </w:t>
      </w:r>
      <w:r w:rsidR="00385539">
        <w:rPr>
          <w:sz w:val="24"/>
          <w:szCs w:val="24"/>
        </w:rPr>
        <w:t>suficiente para suprir o CI.</w:t>
      </w:r>
      <w:r w:rsidR="00AC644D" w:rsidRPr="00385539">
        <w:rPr>
          <w:sz w:val="24"/>
          <w:szCs w:val="24"/>
        </w:rPr>
        <w:t xml:space="preserve"> </w:t>
      </w:r>
      <w:r w:rsidR="00385539">
        <w:rPr>
          <w:sz w:val="24"/>
          <w:szCs w:val="24"/>
        </w:rPr>
        <w:t xml:space="preserve">Em 2018 o CI aumentou </w:t>
      </w:r>
      <w:r w:rsidR="00CE5561">
        <w:rPr>
          <w:sz w:val="24"/>
          <w:szCs w:val="24"/>
        </w:rPr>
        <w:t xml:space="preserve">mais </w:t>
      </w:r>
      <w:r w:rsidR="00385539">
        <w:rPr>
          <w:sz w:val="24"/>
          <w:szCs w:val="24"/>
        </w:rPr>
        <w:t>19 % (</w:t>
      </w:r>
      <w:r w:rsidR="00CE5561">
        <w:rPr>
          <w:sz w:val="24"/>
          <w:szCs w:val="24"/>
        </w:rPr>
        <w:t>subindo</w:t>
      </w:r>
      <w:r w:rsidR="00297301" w:rsidRPr="00385539">
        <w:rPr>
          <w:sz w:val="24"/>
          <w:szCs w:val="24"/>
        </w:rPr>
        <w:t xml:space="preserve"> o NCG e os ativos fixos</w:t>
      </w:r>
      <w:r w:rsidR="00385539">
        <w:rPr>
          <w:sz w:val="24"/>
          <w:szCs w:val="24"/>
        </w:rPr>
        <w:t>) e como as</w:t>
      </w:r>
      <w:r w:rsidR="00092E2E" w:rsidRPr="00385539">
        <w:rPr>
          <w:sz w:val="24"/>
          <w:szCs w:val="24"/>
        </w:rPr>
        <w:t xml:space="preserve"> vendas </w:t>
      </w:r>
      <w:r w:rsidR="002F13D5">
        <w:rPr>
          <w:sz w:val="24"/>
          <w:szCs w:val="24"/>
        </w:rPr>
        <w:t xml:space="preserve">não </w:t>
      </w:r>
      <w:r w:rsidR="00385539">
        <w:rPr>
          <w:sz w:val="24"/>
          <w:szCs w:val="24"/>
        </w:rPr>
        <w:t xml:space="preserve">supriram </w:t>
      </w:r>
      <w:r w:rsidR="00CE5561">
        <w:rPr>
          <w:sz w:val="24"/>
          <w:szCs w:val="24"/>
        </w:rPr>
        <w:t xml:space="preserve">novamente </w:t>
      </w:r>
      <w:r w:rsidR="00385539">
        <w:rPr>
          <w:sz w:val="24"/>
          <w:szCs w:val="24"/>
        </w:rPr>
        <w:t>o CI</w:t>
      </w:r>
      <w:r w:rsidR="00092E2E" w:rsidRPr="00385539">
        <w:rPr>
          <w:sz w:val="24"/>
          <w:szCs w:val="24"/>
        </w:rPr>
        <w:t xml:space="preserve"> </w:t>
      </w:r>
      <w:r w:rsidR="00385539">
        <w:rPr>
          <w:sz w:val="24"/>
          <w:szCs w:val="24"/>
        </w:rPr>
        <w:t xml:space="preserve">(novamente com </w:t>
      </w:r>
      <w:r w:rsidR="00092E2E" w:rsidRPr="00385539">
        <w:rPr>
          <w:sz w:val="24"/>
          <w:szCs w:val="24"/>
        </w:rPr>
        <w:t>6%</w:t>
      </w:r>
      <w:r w:rsidR="00385539">
        <w:rPr>
          <w:sz w:val="24"/>
          <w:szCs w:val="24"/>
        </w:rPr>
        <w:t xml:space="preserve"> de aumento)</w:t>
      </w:r>
      <w:r w:rsidR="00092E2E" w:rsidRPr="00385539">
        <w:rPr>
          <w:sz w:val="24"/>
          <w:szCs w:val="24"/>
        </w:rPr>
        <w:t xml:space="preserve"> </w:t>
      </w:r>
      <w:r w:rsidR="00385539">
        <w:rPr>
          <w:sz w:val="24"/>
          <w:szCs w:val="24"/>
        </w:rPr>
        <w:t xml:space="preserve">o GC caiu </w:t>
      </w:r>
      <w:r w:rsidR="00CE5561">
        <w:rPr>
          <w:sz w:val="24"/>
          <w:szCs w:val="24"/>
        </w:rPr>
        <w:t>0,07</w:t>
      </w:r>
      <w:r w:rsidR="00BF746E">
        <w:rPr>
          <w:sz w:val="24"/>
          <w:szCs w:val="24"/>
        </w:rPr>
        <w:t xml:space="preserve"> em relação a 2017</w:t>
      </w:r>
      <w:r w:rsidR="00092E2E" w:rsidRPr="00385539">
        <w:rPr>
          <w:sz w:val="24"/>
          <w:szCs w:val="24"/>
        </w:rPr>
        <w:t>.</w:t>
      </w:r>
      <w:r w:rsidR="00AC644D" w:rsidRPr="00385539">
        <w:rPr>
          <w:sz w:val="24"/>
          <w:szCs w:val="24"/>
        </w:rPr>
        <w:t xml:space="preserve"> </w:t>
      </w:r>
      <w:r w:rsidR="00CE5561">
        <w:rPr>
          <w:sz w:val="24"/>
          <w:szCs w:val="24"/>
        </w:rPr>
        <w:t>Por fim, em</w:t>
      </w:r>
      <w:r w:rsidR="00092E2E" w:rsidRPr="00385539">
        <w:rPr>
          <w:sz w:val="24"/>
          <w:szCs w:val="24"/>
        </w:rPr>
        <w:t xml:space="preserve"> 2019 houve um aumento de </w:t>
      </w:r>
      <w:r w:rsidR="00C12E64" w:rsidRPr="00385539">
        <w:rPr>
          <w:sz w:val="24"/>
          <w:szCs w:val="24"/>
        </w:rPr>
        <w:t xml:space="preserve">26 % </w:t>
      </w:r>
      <w:r w:rsidR="00CE5561">
        <w:rPr>
          <w:sz w:val="24"/>
          <w:szCs w:val="24"/>
        </w:rPr>
        <w:t>de CI</w:t>
      </w:r>
      <w:r w:rsidR="00C12E64" w:rsidRPr="00385539">
        <w:rPr>
          <w:sz w:val="24"/>
          <w:szCs w:val="24"/>
        </w:rPr>
        <w:t>, onde</w:t>
      </w:r>
      <w:r w:rsidR="00092E2E" w:rsidRPr="00385539">
        <w:rPr>
          <w:sz w:val="24"/>
          <w:szCs w:val="24"/>
        </w:rPr>
        <w:t xml:space="preserve"> a NGC subiu 191% e o ativo fixo </w:t>
      </w:r>
      <w:r w:rsidR="003B57BF" w:rsidRPr="00385539">
        <w:rPr>
          <w:sz w:val="24"/>
          <w:szCs w:val="24"/>
        </w:rPr>
        <w:t xml:space="preserve">subiu </w:t>
      </w:r>
      <w:r w:rsidR="00092E2E" w:rsidRPr="00385539">
        <w:rPr>
          <w:sz w:val="24"/>
          <w:szCs w:val="24"/>
        </w:rPr>
        <w:t>26%</w:t>
      </w:r>
      <w:r w:rsidR="000C3559" w:rsidRPr="00385539">
        <w:rPr>
          <w:sz w:val="24"/>
          <w:szCs w:val="24"/>
        </w:rPr>
        <w:t xml:space="preserve"> </w:t>
      </w:r>
      <w:r w:rsidR="00CE5561">
        <w:rPr>
          <w:sz w:val="24"/>
          <w:szCs w:val="24"/>
        </w:rPr>
        <w:t>comparado a 2018, mas</w:t>
      </w:r>
      <w:r w:rsidR="00C12E64" w:rsidRPr="00385539">
        <w:rPr>
          <w:sz w:val="24"/>
          <w:szCs w:val="24"/>
        </w:rPr>
        <w:t xml:space="preserve"> como as vendas subiram apenas 1% o </w:t>
      </w:r>
      <w:r w:rsidR="00CE5561">
        <w:rPr>
          <w:sz w:val="24"/>
          <w:szCs w:val="24"/>
        </w:rPr>
        <w:t>GC</w:t>
      </w:r>
      <w:r w:rsidR="00C12E64" w:rsidRPr="00385539">
        <w:rPr>
          <w:sz w:val="24"/>
          <w:szCs w:val="24"/>
        </w:rPr>
        <w:t xml:space="preserve"> diminui </w:t>
      </w:r>
      <w:r w:rsidR="00CE5561">
        <w:rPr>
          <w:sz w:val="24"/>
          <w:szCs w:val="24"/>
        </w:rPr>
        <w:t xml:space="preserve">0,12 </w:t>
      </w:r>
      <w:r w:rsidR="00BF746E">
        <w:rPr>
          <w:sz w:val="24"/>
          <w:szCs w:val="24"/>
        </w:rPr>
        <w:t xml:space="preserve">em relação a 2018 </w:t>
      </w:r>
      <w:r w:rsidR="00CE5561">
        <w:rPr>
          <w:sz w:val="24"/>
          <w:szCs w:val="24"/>
        </w:rPr>
        <w:t>e</w:t>
      </w:r>
      <w:r w:rsidR="003B57BF" w:rsidRPr="00385539">
        <w:rPr>
          <w:sz w:val="24"/>
          <w:szCs w:val="24"/>
        </w:rPr>
        <w:t xml:space="preserve"> por consequência</w:t>
      </w:r>
      <w:r w:rsidR="00CE5561">
        <w:rPr>
          <w:sz w:val="24"/>
          <w:szCs w:val="24"/>
        </w:rPr>
        <w:t xml:space="preserve"> fez o ROIC cair</w:t>
      </w:r>
      <w:r w:rsidR="00BF746E">
        <w:rPr>
          <w:sz w:val="24"/>
          <w:szCs w:val="24"/>
        </w:rPr>
        <w:t xml:space="preserve"> também no mesmo ano</w:t>
      </w:r>
      <w:r w:rsidR="00CE5561">
        <w:rPr>
          <w:sz w:val="24"/>
          <w:szCs w:val="24"/>
        </w:rPr>
        <w:t>.</w:t>
      </w:r>
    </w:p>
    <w:p w:rsidR="002F13D5" w:rsidRPr="002F13D5" w:rsidRDefault="002F13D5" w:rsidP="002F13D5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ROIC</w:t>
      </w:r>
      <w:r w:rsidR="00E91912">
        <w:rPr>
          <w:b/>
          <w:sz w:val="24"/>
          <w:szCs w:val="24"/>
        </w:rPr>
        <w:t xml:space="preserve"> </w:t>
      </w:r>
      <w:r w:rsidR="00EE018D" w:rsidRPr="00FD78ED">
        <w:rPr>
          <w:rFonts w:cstheme="minorHAnsi"/>
          <w:b/>
          <w:sz w:val="20"/>
          <w:szCs w:val="20"/>
        </w:rPr>
        <w:t>(Retorno sobre Capital Investido</w:t>
      </w:r>
      <w:r w:rsidR="006E0447" w:rsidRPr="00FD78ED">
        <w:rPr>
          <w:rFonts w:cstheme="minorHAnsi"/>
          <w:b/>
          <w:sz w:val="20"/>
          <w:szCs w:val="20"/>
        </w:rPr>
        <w:t xml:space="preserve"> antes dos impostos</w:t>
      </w:r>
      <w:r w:rsidR="00FD78ED">
        <w:rPr>
          <w:rFonts w:cstheme="minorHAnsi"/>
          <w:b/>
          <w:sz w:val="20"/>
          <w:szCs w:val="20"/>
        </w:rPr>
        <w:t xml:space="preserve"> - </w:t>
      </w:r>
      <w:r w:rsidR="00FD78ED" w:rsidRPr="00FD78ED">
        <w:rPr>
          <w:rFonts w:cstheme="minorHAnsi"/>
          <w:sz w:val="20"/>
          <w:szCs w:val="20"/>
        </w:rPr>
        <w:t>Diz</w:t>
      </w:r>
      <w:r w:rsidR="00FD78ED" w:rsidRPr="00FD78ED">
        <w:rPr>
          <w:rFonts w:cstheme="minorHAnsi"/>
          <w:sz w:val="20"/>
          <w:szCs w:val="20"/>
          <w:shd w:val="clear" w:color="auto" w:fill="FFFFFF"/>
        </w:rPr>
        <w:t xml:space="preserve"> respeito ao retorno sobre o capital total investido, ou seja, o capital próprio da empresa </w:t>
      </w:r>
      <w:r w:rsidR="00FD78ED">
        <w:rPr>
          <w:rFonts w:cstheme="minorHAnsi"/>
          <w:sz w:val="20"/>
          <w:szCs w:val="20"/>
          <w:shd w:val="clear" w:color="auto" w:fill="FFFFFF"/>
        </w:rPr>
        <w:t xml:space="preserve">somado ao capital de terceiros como </w:t>
      </w:r>
      <w:r w:rsidR="00FD78ED" w:rsidRPr="00FD78ED">
        <w:rPr>
          <w:rFonts w:cstheme="minorHAnsi"/>
          <w:sz w:val="20"/>
          <w:szCs w:val="20"/>
          <w:shd w:val="clear" w:color="auto" w:fill="FFFFFF"/>
        </w:rPr>
        <w:t>empréstim</w:t>
      </w:r>
      <w:r w:rsidR="00FD78ED">
        <w:rPr>
          <w:rFonts w:cstheme="minorHAnsi"/>
          <w:sz w:val="20"/>
          <w:szCs w:val="20"/>
          <w:shd w:val="clear" w:color="auto" w:fill="FFFFFF"/>
        </w:rPr>
        <w:t>os, financiamentos e debêntures</w:t>
      </w:r>
      <w:r w:rsidR="000C35BE">
        <w:rPr>
          <w:rFonts w:cstheme="minorHAnsi"/>
          <w:sz w:val="20"/>
          <w:szCs w:val="20"/>
          <w:shd w:val="clear" w:color="auto" w:fill="FFFFFF"/>
        </w:rPr>
        <w:t>):</w:t>
      </w:r>
    </w:p>
    <w:p w:rsidR="00A34460" w:rsidRPr="002F13D5" w:rsidRDefault="002F13D5" w:rsidP="002F13D5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A</w:t>
      </w:r>
      <w:r w:rsidRPr="002F13D5">
        <w:rPr>
          <w:sz w:val="24"/>
          <w:szCs w:val="24"/>
        </w:rPr>
        <w:t xml:space="preserve"> MLO</w:t>
      </w:r>
      <w:r>
        <w:rPr>
          <w:sz w:val="24"/>
          <w:szCs w:val="24"/>
        </w:rPr>
        <w:t xml:space="preserve"> </w:t>
      </w:r>
      <w:r w:rsidR="00B42114">
        <w:rPr>
          <w:sz w:val="24"/>
          <w:szCs w:val="24"/>
        </w:rPr>
        <w:t>foi crescente desde 2014</w:t>
      </w:r>
      <w:r>
        <w:rPr>
          <w:sz w:val="24"/>
          <w:szCs w:val="24"/>
        </w:rPr>
        <w:t xml:space="preserve"> </w:t>
      </w:r>
      <w:r w:rsidR="00B42114">
        <w:rPr>
          <w:sz w:val="24"/>
          <w:szCs w:val="24"/>
        </w:rPr>
        <w:t xml:space="preserve">(exceto entre 2015 e 2016 com valores iguais), </w:t>
      </w:r>
      <w:r>
        <w:rPr>
          <w:sz w:val="24"/>
          <w:szCs w:val="24"/>
        </w:rPr>
        <w:t>enquanto o GC teve algumas pequenas variações com uma diminuição maior em 2018 e uma</w:t>
      </w:r>
      <w:r w:rsidR="00B42114">
        <w:rPr>
          <w:sz w:val="24"/>
          <w:szCs w:val="24"/>
        </w:rPr>
        <w:t xml:space="preserve"> ainda</w:t>
      </w:r>
      <w:r>
        <w:rPr>
          <w:sz w:val="24"/>
          <w:szCs w:val="24"/>
        </w:rPr>
        <w:t xml:space="preserve"> mais acentuada em 2019. Pois houve nestes dois últimos anos, principalmente em 2019, um elevado aumento do CI</w:t>
      </w:r>
      <w:r w:rsidR="00A34460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NCG e ativos fixos). </w:t>
      </w:r>
      <w:r w:rsidR="00A34460">
        <w:rPr>
          <w:sz w:val="24"/>
          <w:szCs w:val="24"/>
        </w:rPr>
        <w:t xml:space="preserve">Em 2018 </w:t>
      </w:r>
      <w:r w:rsidR="00B42114">
        <w:rPr>
          <w:sz w:val="24"/>
          <w:szCs w:val="24"/>
        </w:rPr>
        <w:t>apesar do</w:t>
      </w:r>
      <w:r w:rsidR="00A34460">
        <w:rPr>
          <w:sz w:val="24"/>
          <w:szCs w:val="24"/>
        </w:rPr>
        <w:t xml:space="preserve"> GC </w:t>
      </w:r>
      <w:r w:rsidR="00165D55">
        <w:rPr>
          <w:sz w:val="24"/>
          <w:szCs w:val="24"/>
        </w:rPr>
        <w:t>ca</w:t>
      </w:r>
      <w:r w:rsidR="00B42114">
        <w:rPr>
          <w:sz w:val="24"/>
          <w:szCs w:val="24"/>
        </w:rPr>
        <w:t>ir</w:t>
      </w:r>
      <w:r w:rsidR="00A34460">
        <w:rPr>
          <w:sz w:val="24"/>
          <w:szCs w:val="24"/>
        </w:rPr>
        <w:t xml:space="preserve"> devido as vendas aumentarem 6% e o CL  19%</w:t>
      </w:r>
      <w:r w:rsidR="00165D55">
        <w:rPr>
          <w:sz w:val="24"/>
          <w:szCs w:val="24"/>
        </w:rPr>
        <w:t xml:space="preserve"> em relação a 2017</w:t>
      </w:r>
      <w:r w:rsidR="00B42114">
        <w:rPr>
          <w:sz w:val="24"/>
          <w:szCs w:val="24"/>
        </w:rPr>
        <w:t xml:space="preserve"> o ROIC ainda foi crescente, no entanto em</w:t>
      </w:r>
      <w:r w:rsidR="00A34460">
        <w:rPr>
          <w:sz w:val="24"/>
          <w:szCs w:val="24"/>
        </w:rPr>
        <w:t xml:space="preserve"> 2019 o </w:t>
      </w:r>
      <w:r w:rsidR="00A34460" w:rsidRPr="002F13D5">
        <w:rPr>
          <w:sz w:val="24"/>
          <w:szCs w:val="24"/>
        </w:rPr>
        <w:t xml:space="preserve">GC </w:t>
      </w:r>
      <w:r w:rsidR="00A34460">
        <w:rPr>
          <w:sz w:val="24"/>
          <w:szCs w:val="24"/>
        </w:rPr>
        <w:t xml:space="preserve">diminuiu </w:t>
      </w:r>
      <w:r w:rsidR="00165D55">
        <w:rPr>
          <w:sz w:val="24"/>
          <w:szCs w:val="24"/>
        </w:rPr>
        <w:t>ainda mais</w:t>
      </w:r>
      <w:r w:rsidR="00A34460">
        <w:rPr>
          <w:sz w:val="24"/>
          <w:szCs w:val="24"/>
        </w:rPr>
        <w:t xml:space="preserve"> devido ao </w:t>
      </w:r>
      <w:r w:rsidR="00A34460" w:rsidRPr="002F13D5">
        <w:rPr>
          <w:sz w:val="24"/>
          <w:szCs w:val="24"/>
        </w:rPr>
        <w:t xml:space="preserve">pequeno aumento nas vendas de </w:t>
      </w:r>
      <w:r w:rsidR="00B42114">
        <w:rPr>
          <w:sz w:val="24"/>
          <w:szCs w:val="24"/>
        </w:rPr>
        <w:t xml:space="preserve">apenas </w:t>
      </w:r>
      <w:r w:rsidR="00A34460" w:rsidRPr="002F13D5">
        <w:rPr>
          <w:sz w:val="24"/>
          <w:szCs w:val="24"/>
        </w:rPr>
        <w:t>1% e o grande aumento de CI de 26%</w:t>
      </w:r>
      <w:r w:rsidR="00165D55">
        <w:rPr>
          <w:sz w:val="24"/>
          <w:szCs w:val="24"/>
        </w:rPr>
        <w:t xml:space="preserve"> em relação a 2018</w:t>
      </w:r>
      <w:r w:rsidR="00A34460" w:rsidRPr="002F13D5">
        <w:rPr>
          <w:sz w:val="24"/>
          <w:szCs w:val="24"/>
        </w:rPr>
        <w:t>.</w:t>
      </w:r>
      <w:r w:rsidR="00B42114">
        <w:rPr>
          <w:sz w:val="24"/>
          <w:szCs w:val="24"/>
        </w:rPr>
        <w:t xml:space="preserve"> </w:t>
      </w:r>
      <w:r w:rsidR="00A64897">
        <w:rPr>
          <w:sz w:val="24"/>
          <w:szCs w:val="24"/>
        </w:rPr>
        <w:t>Em</w:t>
      </w:r>
      <w:r w:rsidR="00B42114">
        <w:rPr>
          <w:sz w:val="24"/>
          <w:szCs w:val="24"/>
        </w:rPr>
        <w:t xml:space="preserve"> </w:t>
      </w:r>
      <w:r w:rsidR="00A64897">
        <w:rPr>
          <w:sz w:val="24"/>
          <w:szCs w:val="24"/>
        </w:rPr>
        <w:t xml:space="preserve">2015, </w:t>
      </w:r>
      <w:r w:rsidR="00B42114">
        <w:rPr>
          <w:sz w:val="24"/>
          <w:szCs w:val="24"/>
        </w:rPr>
        <w:t>2016</w:t>
      </w:r>
      <w:r w:rsidR="00A64897">
        <w:rPr>
          <w:sz w:val="24"/>
          <w:szCs w:val="24"/>
        </w:rPr>
        <w:t xml:space="preserve"> e 2017</w:t>
      </w:r>
      <w:r w:rsidR="00B42114">
        <w:rPr>
          <w:sz w:val="24"/>
          <w:szCs w:val="24"/>
        </w:rPr>
        <w:t xml:space="preserve"> não houve grande variação </w:t>
      </w:r>
      <w:r w:rsidR="00A64897">
        <w:rPr>
          <w:sz w:val="24"/>
          <w:szCs w:val="24"/>
        </w:rPr>
        <w:t>no GC e assim também resultou o ROIC.</w:t>
      </w:r>
    </w:p>
    <w:p w:rsidR="002F13D5" w:rsidRPr="00385539" w:rsidRDefault="00B42114" w:rsidP="002F13D5">
      <w:pPr>
        <w:pStyle w:val="PargrafodaLista"/>
        <w:ind w:left="360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2F13D5" w:rsidRPr="000009ED" w:rsidRDefault="0021019D" w:rsidP="000009ED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875FD3">
        <w:rPr>
          <w:b/>
          <w:sz w:val="24"/>
          <w:szCs w:val="24"/>
        </w:rPr>
        <w:t>Índice de estrutura financeira</w:t>
      </w:r>
      <w:r w:rsidR="00E91912">
        <w:rPr>
          <w:b/>
          <w:sz w:val="24"/>
          <w:szCs w:val="24"/>
        </w:rPr>
        <w:t xml:space="preserve"> </w:t>
      </w:r>
      <w:r w:rsidR="00E91912" w:rsidRPr="00E91912">
        <w:rPr>
          <w:sz w:val="24"/>
          <w:szCs w:val="24"/>
        </w:rPr>
        <w:t>(</w:t>
      </w:r>
      <w:r w:rsidR="00E91912">
        <w:rPr>
          <w:b/>
          <w:sz w:val="24"/>
          <w:szCs w:val="24"/>
        </w:rPr>
        <w:t>IEF</w:t>
      </w:r>
      <w:r w:rsidR="00152360">
        <w:rPr>
          <w:sz w:val="24"/>
          <w:szCs w:val="24"/>
        </w:rPr>
        <w:t xml:space="preserve"> -</w:t>
      </w:r>
      <w:r w:rsidR="00B214A4">
        <w:rPr>
          <w:sz w:val="24"/>
          <w:szCs w:val="24"/>
        </w:rPr>
        <w:t xml:space="preserve"> </w:t>
      </w:r>
      <w:r w:rsidR="000009ED" w:rsidRPr="000009ED">
        <w:rPr>
          <w:sz w:val="20"/>
          <w:szCs w:val="20"/>
        </w:rPr>
        <w:t>quanto maior</w:t>
      </w:r>
      <w:r w:rsidR="000A143E">
        <w:rPr>
          <w:sz w:val="20"/>
          <w:szCs w:val="20"/>
        </w:rPr>
        <w:t xml:space="preserve"> for</w:t>
      </w:r>
      <w:r w:rsidR="007A6C71">
        <w:rPr>
          <w:sz w:val="20"/>
          <w:szCs w:val="20"/>
        </w:rPr>
        <w:t>,</w:t>
      </w:r>
      <w:r w:rsidR="000009ED" w:rsidRPr="000009ED">
        <w:rPr>
          <w:sz w:val="20"/>
          <w:szCs w:val="20"/>
        </w:rPr>
        <w:t xml:space="preserve"> mais </w:t>
      </w:r>
      <w:r w:rsidR="000A143E">
        <w:rPr>
          <w:sz w:val="20"/>
          <w:szCs w:val="20"/>
        </w:rPr>
        <w:t xml:space="preserve">endividada </w:t>
      </w:r>
      <w:r w:rsidR="000009ED" w:rsidRPr="000009ED">
        <w:rPr>
          <w:sz w:val="20"/>
          <w:szCs w:val="20"/>
        </w:rPr>
        <w:t>é a empresa)</w:t>
      </w:r>
      <w:r w:rsidR="000C35BE">
        <w:rPr>
          <w:sz w:val="20"/>
          <w:szCs w:val="20"/>
        </w:rPr>
        <w:t>:</w:t>
      </w:r>
    </w:p>
    <w:p w:rsidR="0090028D" w:rsidRPr="00A76EAB" w:rsidRDefault="0090028D" w:rsidP="002F13D5">
      <w:pPr>
        <w:pStyle w:val="PargrafodaLista"/>
        <w:ind w:left="360"/>
        <w:rPr>
          <w:sz w:val="24"/>
          <w:szCs w:val="24"/>
        </w:rPr>
      </w:pPr>
      <w:r w:rsidRPr="00A76EAB">
        <w:rPr>
          <w:sz w:val="24"/>
          <w:szCs w:val="24"/>
        </w:rPr>
        <w:t xml:space="preserve">Em 2016 o </w:t>
      </w:r>
      <w:r w:rsidR="00867FCB">
        <w:rPr>
          <w:sz w:val="24"/>
          <w:szCs w:val="24"/>
        </w:rPr>
        <w:t>IEF</w:t>
      </w:r>
      <w:r w:rsidRPr="00A76EAB">
        <w:rPr>
          <w:sz w:val="24"/>
          <w:szCs w:val="24"/>
        </w:rPr>
        <w:t xml:space="preserve"> diminuiu porque foi a ano com menor aumento de </w:t>
      </w:r>
      <w:r w:rsidR="00867FCB">
        <w:rPr>
          <w:sz w:val="24"/>
          <w:szCs w:val="24"/>
        </w:rPr>
        <w:t>CI</w:t>
      </w:r>
      <w:r w:rsidRPr="00A76EAB">
        <w:rPr>
          <w:sz w:val="24"/>
          <w:szCs w:val="24"/>
        </w:rPr>
        <w:t xml:space="preserve"> com apenas 4%, enquanto o PL cresceu 13% </w:t>
      </w:r>
      <w:r w:rsidR="00867FCB">
        <w:rPr>
          <w:sz w:val="24"/>
          <w:szCs w:val="24"/>
        </w:rPr>
        <w:t>em relação a 2015 e a</w:t>
      </w:r>
      <w:r w:rsidRPr="00A76EAB">
        <w:rPr>
          <w:sz w:val="24"/>
          <w:szCs w:val="24"/>
        </w:rPr>
        <w:t xml:space="preserve">pesar de 2017 ter o menor </w:t>
      </w:r>
      <w:r w:rsidRPr="00A76EAB">
        <w:rPr>
          <w:sz w:val="24"/>
          <w:szCs w:val="24"/>
        </w:rPr>
        <w:lastRenderedPageBreak/>
        <w:t xml:space="preserve">aumento de PL em 7% </w:t>
      </w:r>
      <w:r w:rsidR="00482A82">
        <w:rPr>
          <w:sz w:val="24"/>
          <w:szCs w:val="24"/>
        </w:rPr>
        <w:t>apresentou</w:t>
      </w:r>
      <w:r w:rsidRPr="00A76EAB">
        <w:rPr>
          <w:sz w:val="24"/>
          <w:szCs w:val="24"/>
        </w:rPr>
        <w:t xml:space="preserve"> aumento do </w:t>
      </w:r>
      <w:r w:rsidR="00867FCB">
        <w:rPr>
          <w:sz w:val="24"/>
          <w:szCs w:val="24"/>
        </w:rPr>
        <w:t>IEF</w:t>
      </w:r>
      <w:r w:rsidR="00482A82">
        <w:rPr>
          <w:sz w:val="24"/>
          <w:szCs w:val="24"/>
        </w:rPr>
        <w:t>, pois</w:t>
      </w:r>
      <w:r w:rsidR="00867FCB">
        <w:rPr>
          <w:sz w:val="24"/>
          <w:szCs w:val="24"/>
        </w:rPr>
        <w:t xml:space="preserve"> o</w:t>
      </w:r>
      <w:r w:rsidRPr="00A76EAB">
        <w:rPr>
          <w:sz w:val="24"/>
          <w:szCs w:val="24"/>
        </w:rPr>
        <w:t xml:space="preserve"> </w:t>
      </w:r>
      <w:r w:rsidR="00867FCB">
        <w:rPr>
          <w:sz w:val="24"/>
          <w:szCs w:val="24"/>
        </w:rPr>
        <w:t>CI</w:t>
      </w:r>
      <w:r w:rsidRPr="00A76EAB">
        <w:rPr>
          <w:sz w:val="24"/>
          <w:szCs w:val="24"/>
        </w:rPr>
        <w:t xml:space="preserve"> </w:t>
      </w:r>
      <w:r w:rsidR="00482A82">
        <w:rPr>
          <w:sz w:val="24"/>
          <w:szCs w:val="24"/>
        </w:rPr>
        <w:t>aumentou</w:t>
      </w:r>
      <w:r w:rsidRPr="00A76EAB">
        <w:rPr>
          <w:sz w:val="24"/>
          <w:szCs w:val="24"/>
        </w:rPr>
        <w:t xml:space="preserve"> 9%</w:t>
      </w:r>
      <w:r w:rsidR="00867FCB">
        <w:rPr>
          <w:sz w:val="24"/>
          <w:szCs w:val="24"/>
        </w:rPr>
        <w:t xml:space="preserve"> </w:t>
      </w:r>
      <w:r w:rsidR="00867FCB" w:rsidRPr="00A76EAB">
        <w:rPr>
          <w:sz w:val="24"/>
          <w:szCs w:val="24"/>
        </w:rPr>
        <w:t>em relação a 2016</w:t>
      </w:r>
      <w:r w:rsidRPr="00A76EAB">
        <w:rPr>
          <w:sz w:val="24"/>
          <w:szCs w:val="24"/>
        </w:rPr>
        <w:t>.</w:t>
      </w:r>
      <w:r w:rsidR="00AC644D" w:rsidRPr="00A76EAB">
        <w:rPr>
          <w:sz w:val="24"/>
          <w:szCs w:val="24"/>
        </w:rPr>
        <w:t xml:space="preserve"> </w:t>
      </w:r>
      <w:r w:rsidRPr="00A76EAB">
        <w:rPr>
          <w:sz w:val="24"/>
          <w:szCs w:val="24"/>
        </w:rPr>
        <w:t xml:space="preserve">Em 2018 </w:t>
      </w:r>
      <w:r w:rsidR="00867FCB">
        <w:rPr>
          <w:sz w:val="24"/>
          <w:szCs w:val="24"/>
        </w:rPr>
        <w:t>IEF</w:t>
      </w:r>
      <w:r w:rsidRPr="00A76EAB">
        <w:rPr>
          <w:sz w:val="24"/>
          <w:szCs w:val="24"/>
        </w:rPr>
        <w:t xml:space="preserve"> diminui </w:t>
      </w:r>
      <w:r w:rsidR="00867FCB">
        <w:rPr>
          <w:sz w:val="24"/>
          <w:szCs w:val="24"/>
        </w:rPr>
        <w:t xml:space="preserve">devido ao </w:t>
      </w:r>
      <w:r w:rsidRPr="00A76EAB">
        <w:rPr>
          <w:sz w:val="24"/>
          <w:szCs w:val="24"/>
        </w:rPr>
        <w:t>aumento de PL</w:t>
      </w:r>
      <w:r w:rsidR="00867FCB">
        <w:rPr>
          <w:sz w:val="24"/>
          <w:szCs w:val="24"/>
        </w:rPr>
        <w:t xml:space="preserve"> em</w:t>
      </w:r>
      <w:r w:rsidRPr="00A76EAB">
        <w:rPr>
          <w:sz w:val="24"/>
          <w:szCs w:val="24"/>
        </w:rPr>
        <w:t xml:space="preserve"> 23%, enquanto o </w:t>
      </w:r>
      <w:r w:rsidR="00867FCB">
        <w:rPr>
          <w:sz w:val="24"/>
          <w:szCs w:val="24"/>
        </w:rPr>
        <w:t>CI</w:t>
      </w:r>
      <w:r w:rsidRPr="00A76EAB">
        <w:rPr>
          <w:sz w:val="24"/>
          <w:szCs w:val="24"/>
        </w:rPr>
        <w:t xml:space="preserve"> aumentou </w:t>
      </w:r>
      <w:r w:rsidR="00867FCB">
        <w:rPr>
          <w:sz w:val="24"/>
          <w:szCs w:val="24"/>
        </w:rPr>
        <w:t xml:space="preserve">apenas </w:t>
      </w:r>
      <w:r w:rsidRPr="00A76EAB">
        <w:rPr>
          <w:sz w:val="24"/>
          <w:szCs w:val="24"/>
        </w:rPr>
        <w:t>19%</w:t>
      </w:r>
      <w:r w:rsidR="00482A82">
        <w:rPr>
          <w:sz w:val="24"/>
          <w:szCs w:val="24"/>
        </w:rPr>
        <w:t xml:space="preserve"> em relação a</w:t>
      </w:r>
      <w:r w:rsidR="00482A82" w:rsidRPr="00A76EAB">
        <w:rPr>
          <w:sz w:val="24"/>
          <w:szCs w:val="24"/>
        </w:rPr>
        <w:t xml:space="preserve"> 2017</w:t>
      </w:r>
      <w:r w:rsidRPr="00A76EAB">
        <w:rPr>
          <w:sz w:val="24"/>
          <w:szCs w:val="24"/>
        </w:rPr>
        <w:t>.</w:t>
      </w:r>
      <w:r w:rsidR="00AC644D" w:rsidRPr="00A76EAB">
        <w:rPr>
          <w:sz w:val="24"/>
          <w:szCs w:val="24"/>
        </w:rPr>
        <w:t xml:space="preserve"> </w:t>
      </w:r>
      <w:r w:rsidRPr="00A76EAB">
        <w:rPr>
          <w:sz w:val="24"/>
          <w:szCs w:val="24"/>
        </w:rPr>
        <w:t>O ano</w:t>
      </w:r>
      <w:r w:rsidR="00867FCB">
        <w:rPr>
          <w:sz w:val="24"/>
          <w:szCs w:val="24"/>
        </w:rPr>
        <w:t xml:space="preserve"> de maior alavancagem foi 2019, que a</w:t>
      </w:r>
      <w:r w:rsidRPr="00A76EAB">
        <w:rPr>
          <w:sz w:val="24"/>
          <w:szCs w:val="24"/>
        </w:rPr>
        <w:t xml:space="preserve">pesar </w:t>
      </w:r>
      <w:r w:rsidR="00867FCB">
        <w:rPr>
          <w:sz w:val="24"/>
          <w:szCs w:val="24"/>
        </w:rPr>
        <w:t xml:space="preserve">do crescimento de </w:t>
      </w:r>
      <w:r w:rsidRPr="00A76EAB">
        <w:rPr>
          <w:sz w:val="24"/>
          <w:szCs w:val="24"/>
        </w:rPr>
        <w:t xml:space="preserve">17 % </w:t>
      </w:r>
      <w:r w:rsidR="00867FCB">
        <w:rPr>
          <w:sz w:val="24"/>
          <w:szCs w:val="24"/>
        </w:rPr>
        <w:t>do PL o</w:t>
      </w:r>
      <w:r w:rsidRPr="00A76EAB">
        <w:rPr>
          <w:sz w:val="24"/>
          <w:szCs w:val="24"/>
        </w:rPr>
        <w:t xml:space="preserve"> </w:t>
      </w:r>
      <w:r w:rsidR="00867FCB">
        <w:rPr>
          <w:sz w:val="24"/>
          <w:szCs w:val="24"/>
        </w:rPr>
        <w:t>CI</w:t>
      </w:r>
      <w:r w:rsidRPr="00A76EAB">
        <w:rPr>
          <w:sz w:val="24"/>
          <w:szCs w:val="24"/>
        </w:rPr>
        <w:t xml:space="preserve"> </w:t>
      </w:r>
      <w:r w:rsidR="00867FCB">
        <w:rPr>
          <w:sz w:val="24"/>
          <w:szCs w:val="24"/>
        </w:rPr>
        <w:t xml:space="preserve">subiu </w:t>
      </w:r>
      <w:r w:rsidRPr="00A76EAB">
        <w:rPr>
          <w:sz w:val="24"/>
          <w:szCs w:val="24"/>
        </w:rPr>
        <w:t xml:space="preserve">26% </w:t>
      </w:r>
      <w:r w:rsidR="00867FCB">
        <w:rPr>
          <w:sz w:val="24"/>
          <w:szCs w:val="24"/>
        </w:rPr>
        <w:t xml:space="preserve">em relação a 2018 </w:t>
      </w:r>
      <w:r w:rsidRPr="00A76EAB">
        <w:rPr>
          <w:sz w:val="24"/>
          <w:szCs w:val="24"/>
        </w:rPr>
        <w:t>fazendo</w:t>
      </w:r>
      <w:r w:rsidR="00482A82">
        <w:rPr>
          <w:sz w:val="24"/>
          <w:szCs w:val="24"/>
        </w:rPr>
        <w:t>,</w:t>
      </w:r>
      <w:r w:rsidRPr="00A76EAB">
        <w:rPr>
          <w:sz w:val="24"/>
          <w:szCs w:val="24"/>
        </w:rPr>
        <w:t xml:space="preserve"> </w:t>
      </w:r>
      <w:r w:rsidR="00867FCB">
        <w:rPr>
          <w:sz w:val="24"/>
          <w:szCs w:val="24"/>
        </w:rPr>
        <w:t>assim</w:t>
      </w:r>
      <w:r w:rsidR="00482A82">
        <w:rPr>
          <w:sz w:val="24"/>
          <w:szCs w:val="24"/>
        </w:rPr>
        <w:t>,</w:t>
      </w:r>
      <w:r w:rsidR="00867FCB">
        <w:rPr>
          <w:sz w:val="24"/>
          <w:szCs w:val="24"/>
        </w:rPr>
        <w:t xml:space="preserve"> </w:t>
      </w:r>
      <w:r w:rsidRPr="00A76EAB">
        <w:rPr>
          <w:sz w:val="24"/>
          <w:szCs w:val="24"/>
        </w:rPr>
        <w:t>o</w:t>
      </w:r>
      <w:r w:rsidR="00867FCB">
        <w:rPr>
          <w:sz w:val="24"/>
          <w:szCs w:val="24"/>
        </w:rPr>
        <w:t xml:space="preserve"> IEF</w:t>
      </w:r>
      <w:r w:rsidRPr="00A76EAB">
        <w:rPr>
          <w:sz w:val="24"/>
          <w:szCs w:val="24"/>
        </w:rPr>
        <w:t xml:space="preserve"> </w:t>
      </w:r>
      <w:r w:rsidR="00867FCB">
        <w:rPr>
          <w:sz w:val="24"/>
          <w:szCs w:val="24"/>
        </w:rPr>
        <w:t>crescer</w:t>
      </w:r>
      <w:r w:rsidRPr="00A76EAB">
        <w:rPr>
          <w:sz w:val="24"/>
          <w:szCs w:val="24"/>
        </w:rPr>
        <w:t>.</w:t>
      </w:r>
    </w:p>
    <w:p w:rsidR="002F13D5" w:rsidRPr="002F13D5" w:rsidRDefault="0021019D" w:rsidP="000A143E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75FD3">
        <w:rPr>
          <w:b/>
          <w:sz w:val="24"/>
          <w:szCs w:val="24"/>
        </w:rPr>
        <w:t>Índice de custo financeiro</w:t>
      </w:r>
      <w:r w:rsidR="00B70DC7">
        <w:rPr>
          <w:b/>
          <w:sz w:val="24"/>
          <w:szCs w:val="24"/>
        </w:rPr>
        <w:t xml:space="preserve"> </w:t>
      </w:r>
      <w:r w:rsidR="00B70DC7" w:rsidRPr="00B70DC7">
        <w:rPr>
          <w:sz w:val="24"/>
          <w:szCs w:val="24"/>
        </w:rPr>
        <w:t>(</w:t>
      </w:r>
      <w:r w:rsidR="00B70DC7">
        <w:rPr>
          <w:b/>
          <w:sz w:val="24"/>
          <w:szCs w:val="24"/>
        </w:rPr>
        <w:t>ICF</w:t>
      </w:r>
      <w:r w:rsidR="00152360">
        <w:rPr>
          <w:b/>
          <w:sz w:val="24"/>
          <w:szCs w:val="24"/>
        </w:rPr>
        <w:t xml:space="preserve"> </w:t>
      </w:r>
      <w:r w:rsidR="00B70DC7" w:rsidRPr="00B70DC7">
        <w:rPr>
          <w:sz w:val="20"/>
          <w:szCs w:val="20"/>
        </w:rPr>
        <w:t>-</w:t>
      </w:r>
      <w:r w:rsidR="00152360">
        <w:rPr>
          <w:sz w:val="20"/>
          <w:szCs w:val="20"/>
        </w:rPr>
        <w:t xml:space="preserve"> </w:t>
      </w:r>
      <w:r w:rsidR="000A143E" w:rsidRPr="000A143E">
        <w:rPr>
          <w:sz w:val="20"/>
          <w:szCs w:val="20"/>
        </w:rPr>
        <w:t>Indica que a despesa fina</w:t>
      </w:r>
      <w:r w:rsidR="000A143E">
        <w:rPr>
          <w:sz w:val="20"/>
          <w:szCs w:val="20"/>
        </w:rPr>
        <w:t>n</w:t>
      </w:r>
      <w:r w:rsidR="000A143E" w:rsidRPr="000A143E">
        <w:rPr>
          <w:sz w:val="20"/>
          <w:szCs w:val="20"/>
        </w:rPr>
        <w:t xml:space="preserve">ceira </w:t>
      </w:r>
      <w:r w:rsidR="00152360">
        <w:rPr>
          <w:sz w:val="20"/>
          <w:szCs w:val="20"/>
        </w:rPr>
        <w:t>é grande quando menor for o</w:t>
      </w:r>
      <w:r w:rsidR="000A143E" w:rsidRPr="000A143E">
        <w:rPr>
          <w:sz w:val="20"/>
          <w:szCs w:val="20"/>
        </w:rPr>
        <w:t xml:space="preserve"> índice</w:t>
      </w:r>
      <w:r w:rsidR="00B70DC7" w:rsidRPr="00B70DC7">
        <w:rPr>
          <w:sz w:val="20"/>
          <w:szCs w:val="20"/>
        </w:rPr>
        <w:t>)</w:t>
      </w:r>
      <w:r w:rsidR="000C35BE">
        <w:t>:</w:t>
      </w:r>
    </w:p>
    <w:p w:rsidR="002F13D5" w:rsidRPr="00A76EAB" w:rsidRDefault="00A76EAB" w:rsidP="002F13D5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A30EE">
        <w:rPr>
          <w:sz w:val="24"/>
          <w:szCs w:val="24"/>
        </w:rPr>
        <w:t>Em 2017, 2018 e 2019 t</w:t>
      </w:r>
      <w:r w:rsidR="003704F4" w:rsidRPr="00A76EAB">
        <w:rPr>
          <w:sz w:val="24"/>
          <w:szCs w:val="24"/>
        </w:rPr>
        <w:t>iveram um aumento expressivo no EBT respectivamente de 34</w:t>
      </w:r>
      <w:r w:rsidR="000A30EE">
        <w:rPr>
          <w:sz w:val="24"/>
          <w:szCs w:val="24"/>
        </w:rPr>
        <w:t xml:space="preserve"> %, 58 % e 21% em relação ao</w:t>
      </w:r>
      <w:r w:rsidR="003704F4" w:rsidRPr="00A76EAB">
        <w:rPr>
          <w:sz w:val="24"/>
          <w:szCs w:val="24"/>
        </w:rPr>
        <w:t xml:space="preserve"> </w:t>
      </w:r>
      <w:r w:rsidR="000A30EE">
        <w:rPr>
          <w:sz w:val="24"/>
          <w:szCs w:val="24"/>
        </w:rPr>
        <w:t xml:space="preserve">seu </w:t>
      </w:r>
      <w:r w:rsidR="003704F4" w:rsidRPr="00A76EAB">
        <w:rPr>
          <w:sz w:val="24"/>
          <w:szCs w:val="24"/>
        </w:rPr>
        <w:t>ano anterior.</w:t>
      </w:r>
      <w:r w:rsidR="00AC644D" w:rsidRPr="00A76EAB">
        <w:rPr>
          <w:sz w:val="24"/>
          <w:szCs w:val="24"/>
        </w:rPr>
        <w:t xml:space="preserve"> </w:t>
      </w:r>
      <w:r w:rsidR="003704F4" w:rsidRPr="00A76EAB">
        <w:rPr>
          <w:sz w:val="24"/>
          <w:szCs w:val="24"/>
        </w:rPr>
        <w:t xml:space="preserve">O melhor ano de </w:t>
      </w:r>
      <w:r w:rsidR="000A30EE">
        <w:rPr>
          <w:sz w:val="24"/>
          <w:szCs w:val="24"/>
        </w:rPr>
        <w:t>ICF</w:t>
      </w:r>
      <w:r w:rsidR="003704F4" w:rsidRPr="00A76EAB">
        <w:rPr>
          <w:sz w:val="24"/>
          <w:szCs w:val="24"/>
        </w:rPr>
        <w:t xml:space="preserve"> foi 2019, com um aumento nas receitas financeiras em torno de 122% fazendo o EBT aumentar 21% em relação a 2018.</w:t>
      </w:r>
    </w:p>
    <w:p w:rsidR="002F13D5" w:rsidRPr="002F13D5" w:rsidRDefault="00B71D2E" w:rsidP="00162F21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935AA">
        <w:rPr>
          <w:b/>
          <w:sz w:val="24"/>
          <w:szCs w:val="24"/>
        </w:rPr>
        <w:t xml:space="preserve">Multiplicador de </w:t>
      </w:r>
      <w:r w:rsidRPr="000009ED">
        <w:rPr>
          <w:b/>
          <w:sz w:val="24"/>
          <w:szCs w:val="24"/>
          <w:u w:val="single"/>
        </w:rPr>
        <w:t>Alavancagem</w:t>
      </w:r>
      <w:r w:rsidRPr="004935AA">
        <w:rPr>
          <w:b/>
          <w:sz w:val="24"/>
          <w:szCs w:val="24"/>
        </w:rPr>
        <w:t xml:space="preserve"> Financeiro</w:t>
      </w:r>
      <w:r w:rsidR="001B2BEB">
        <w:rPr>
          <w:b/>
          <w:sz w:val="24"/>
          <w:szCs w:val="24"/>
        </w:rPr>
        <w:t xml:space="preserve"> </w:t>
      </w:r>
      <w:r w:rsidR="001B2BEB" w:rsidRPr="001B2BEB">
        <w:rPr>
          <w:sz w:val="24"/>
          <w:szCs w:val="24"/>
        </w:rPr>
        <w:t>(</w:t>
      </w:r>
      <w:r w:rsidR="001B2BEB">
        <w:rPr>
          <w:b/>
          <w:sz w:val="24"/>
          <w:szCs w:val="24"/>
        </w:rPr>
        <w:t>MLF</w:t>
      </w:r>
      <w:r w:rsidR="00162F21" w:rsidRPr="001B2BEB">
        <w:rPr>
          <w:sz w:val="20"/>
          <w:szCs w:val="20"/>
        </w:rPr>
        <w:t xml:space="preserve"> </w:t>
      </w:r>
      <w:r w:rsidR="00152360">
        <w:rPr>
          <w:sz w:val="20"/>
          <w:szCs w:val="20"/>
        </w:rPr>
        <w:t>- R</w:t>
      </w:r>
      <w:r w:rsidR="00162F21" w:rsidRPr="001B2BEB">
        <w:rPr>
          <w:sz w:val="20"/>
          <w:szCs w:val="20"/>
        </w:rPr>
        <w:t>elaciona quanto a empresa tem</w:t>
      </w:r>
      <w:r w:rsidR="001B2BEB" w:rsidRPr="001B2BEB">
        <w:rPr>
          <w:sz w:val="20"/>
          <w:szCs w:val="20"/>
        </w:rPr>
        <w:t xml:space="preserve"> de dívida com o q</w:t>
      </w:r>
      <w:r w:rsidR="001B2BEB">
        <w:rPr>
          <w:sz w:val="20"/>
          <w:szCs w:val="20"/>
        </w:rPr>
        <w:t>uant</w:t>
      </w:r>
      <w:r w:rsidR="001B2BEB" w:rsidRPr="001B2BEB">
        <w:rPr>
          <w:sz w:val="20"/>
          <w:szCs w:val="20"/>
        </w:rPr>
        <w:t>o ela deve</w:t>
      </w:r>
      <w:r w:rsidR="00162F21" w:rsidRPr="001B2BEB">
        <w:rPr>
          <w:sz w:val="20"/>
          <w:szCs w:val="20"/>
        </w:rPr>
        <w:t>)</w:t>
      </w:r>
      <w:r w:rsidR="001B2BEB" w:rsidRPr="001B2BEB">
        <w:rPr>
          <w:sz w:val="20"/>
          <w:szCs w:val="20"/>
        </w:rPr>
        <w:t>:</w:t>
      </w:r>
    </w:p>
    <w:p w:rsidR="00A76EAB" w:rsidRPr="004935AA" w:rsidRDefault="004935AA" w:rsidP="002F13D5">
      <w:pPr>
        <w:pStyle w:val="PargrafodaLista"/>
        <w:ind w:left="360"/>
        <w:rPr>
          <w:sz w:val="24"/>
          <w:szCs w:val="24"/>
        </w:rPr>
      </w:pPr>
      <w:r w:rsidRPr="004935AA">
        <w:rPr>
          <w:sz w:val="24"/>
          <w:szCs w:val="24"/>
        </w:rPr>
        <w:t xml:space="preserve"> Apesar de 2015 ter o mesmo</w:t>
      </w:r>
      <w:r w:rsidR="005E3299">
        <w:rPr>
          <w:sz w:val="24"/>
          <w:szCs w:val="24"/>
        </w:rPr>
        <w:t xml:space="preserve"> valor baixo de</w:t>
      </w:r>
      <w:r w:rsidRPr="004935AA">
        <w:rPr>
          <w:sz w:val="24"/>
          <w:szCs w:val="24"/>
        </w:rPr>
        <w:t xml:space="preserve"> ICF de 2016 o MLF de 2015 foi melhor devido ao </w:t>
      </w:r>
      <w:r>
        <w:rPr>
          <w:sz w:val="24"/>
          <w:szCs w:val="24"/>
        </w:rPr>
        <w:t xml:space="preserve">seu </w:t>
      </w:r>
      <w:r w:rsidRPr="004935AA">
        <w:rPr>
          <w:sz w:val="24"/>
          <w:szCs w:val="24"/>
        </w:rPr>
        <w:t>IEF.</w:t>
      </w:r>
      <w:r w:rsidR="00C35EF2" w:rsidRPr="004935AA">
        <w:rPr>
          <w:sz w:val="24"/>
          <w:szCs w:val="24"/>
        </w:rPr>
        <w:t xml:space="preserve"> </w:t>
      </w:r>
      <w:r w:rsidRPr="004935AA">
        <w:rPr>
          <w:sz w:val="24"/>
          <w:szCs w:val="24"/>
        </w:rPr>
        <w:t xml:space="preserve"> C</w:t>
      </w:r>
      <w:r w:rsidR="00C35EF2" w:rsidRPr="004935AA">
        <w:rPr>
          <w:sz w:val="24"/>
          <w:szCs w:val="24"/>
        </w:rPr>
        <w:t>om</w:t>
      </w:r>
      <w:r w:rsidR="005E3299">
        <w:rPr>
          <w:sz w:val="24"/>
          <w:szCs w:val="24"/>
        </w:rPr>
        <w:t xml:space="preserve">o </w:t>
      </w:r>
      <w:r w:rsidRPr="004935AA">
        <w:rPr>
          <w:sz w:val="24"/>
          <w:szCs w:val="24"/>
        </w:rPr>
        <w:t xml:space="preserve">2016 </w:t>
      </w:r>
      <w:r w:rsidR="005E3299">
        <w:rPr>
          <w:sz w:val="24"/>
          <w:szCs w:val="24"/>
        </w:rPr>
        <w:t xml:space="preserve">apresentou também </w:t>
      </w:r>
      <w:r w:rsidR="004F3B5A">
        <w:rPr>
          <w:sz w:val="24"/>
          <w:szCs w:val="24"/>
        </w:rPr>
        <w:t>um</w:t>
      </w:r>
      <w:r w:rsidR="005E3299">
        <w:rPr>
          <w:sz w:val="24"/>
          <w:szCs w:val="24"/>
        </w:rPr>
        <w:t xml:space="preserve"> valor </w:t>
      </w:r>
      <w:r w:rsidR="004F3B5A">
        <w:rPr>
          <w:sz w:val="24"/>
          <w:szCs w:val="24"/>
        </w:rPr>
        <w:t xml:space="preserve">menor </w:t>
      </w:r>
      <w:r w:rsidR="005E3299">
        <w:rPr>
          <w:sz w:val="24"/>
          <w:szCs w:val="24"/>
        </w:rPr>
        <w:t xml:space="preserve">de IEF resultou no </w:t>
      </w:r>
      <w:r w:rsidR="00C35EF2" w:rsidRPr="004935AA">
        <w:rPr>
          <w:sz w:val="24"/>
          <w:szCs w:val="24"/>
        </w:rPr>
        <w:t xml:space="preserve">menor </w:t>
      </w:r>
      <w:r w:rsidRPr="004935AA">
        <w:rPr>
          <w:sz w:val="24"/>
          <w:szCs w:val="24"/>
        </w:rPr>
        <w:t xml:space="preserve">valor de </w:t>
      </w:r>
      <w:r>
        <w:rPr>
          <w:sz w:val="24"/>
          <w:szCs w:val="24"/>
        </w:rPr>
        <w:t>MLF</w:t>
      </w:r>
      <w:r w:rsidR="005E3299">
        <w:rPr>
          <w:sz w:val="24"/>
          <w:szCs w:val="24"/>
        </w:rPr>
        <w:t xml:space="preserve"> dentre os 5</w:t>
      </w:r>
      <w:r>
        <w:rPr>
          <w:sz w:val="24"/>
          <w:szCs w:val="24"/>
        </w:rPr>
        <w:t>.</w:t>
      </w:r>
      <w:r w:rsidR="00AC644D" w:rsidRPr="004935AA">
        <w:rPr>
          <w:sz w:val="24"/>
          <w:szCs w:val="24"/>
        </w:rPr>
        <w:t xml:space="preserve"> </w:t>
      </w:r>
      <w:r w:rsidR="00781C52" w:rsidRPr="004935AA">
        <w:rPr>
          <w:sz w:val="24"/>
          <w:szCs w:val="24"/>
        </w:rPr>
        <w:t xml:space="preserve">Em 2018 apesar do </w:t>
      </w:r>
      <w:r>
        <w:rPr>
          <w:sz w:val="24"/>
          <w:szCs w:val="24"/>
        </w:rPr>
        <w:t xml:space="preserve">IEF ser </w:t>
      </w:r>
      <w:r w:rsidR="00781C52" w:rsidRPr="004935AA">
        <w:rPr>
          <w:sz w:val="24"/>
          <w:szCs w:val="24"/>
        </w:rPr>
        <w:t xml:space="preserve">menor </w:t>
      </w:r>
      <w:r w:rsidR="005E3299">
        <w:rPr>
          <w:sz w:val="24"/>
          <w:szCs w:val="24"/>
        </w:rPr>
        <w:t>apresentou</w:t>
      </w:r>
      <w:r w:rsidR="003114F2">
        <w:rPr>
          <w:sz w:val="24"/>
          <w:szCs w:val="24"/>
        </w:rPr>
        <w:t xml:space="preserve"> o</w:t>
      </w:r>
      <w:r w:rsidR="00781C52" w:rsidRPr="004935AA">
        <w:rPr>
          <w:sz w:val="24"/>
          <w:szCs w:val="24"/>
        </w:rPr>
        <w:t xml:space="preserve"> </w:t>
      </w:r>
      <w:r w:rsidR="005E3299">
        <w:rPr>
          <w:sz w:val="24"/>
          <w:szCs w:val="24"/>
        </w:rPr>
        <w:t xml:space="preserve">ICF maior do </w:t>
      </w:r>
      <w:r w:rsidR="005E3299" w:rsidRPr="004935AA">
        <w:rPr>
          <w:sz w:val="24"/>
          <w:szCs w:val="24"/>
        </w:rPr>
        <w:t xml:space="preserve">que 2017 </w:t>
      </w:r>
      <w:r w:rsidR="005E3299">
        <w:rPr>
          <w:sz w:val="24"/>
          <w:szCs w:val="24"/>
        </w:rPr>
        <w:t>(o</w:t>
      </w:r>
      <w:r w:rsidR="00781C52" w:rsidRPr="004935AA">
        <w:rPr>
          <w:sz w:val="24"/>
          <w:szCs w:val="24"/>
        </w:rPr>
        <w:t xml:space="preserve"> EBT cresceu 58 % contra 39 % do EBIT</w:t>
      </w:r>
      <w:r w:rsidR="0085753C">
        <w:rPr>
          <w:sz w:val="24"/>
          <w:szCs w:val="24"/>
        </w:rPr>
        <w:t xml:space="preserve">). </w:t>
      </w:r>
      <w:r w:rsidR="00854C46" w:rsidRPr="004935AA">
        <w:rPr>
          <w:sz w:val="24"/>
          <w:szCs w:val="24"/>
        </w:rPr>
        <w:t xml:space="preserve">Em 2019 teve o maior valor </w:t>
      </w:r>
      <w:r w:rsidR="003114F2">
        <w:rPr>
          <w:sz w:val="24"/>
          <w:szCs w:val="24"/>
        </w:rPr>
        <w:t>do MLF</w:t>
      </w:r>
      <w:r w:rsidR="00854C46" w:rsidRPr="004935AA">
        <w:rPr>
          <w:sz w:val="24"/>
          <w:szCs w:val="24"/>
        </w:rPr>
        <w:t xml:space="preserve"> devido apresentar tanto um alto </w:t>
      </w:r>
      <w:r w:rsidR="003114F2">
        <w:rPr>
          <w:sz w:val="24"/>
          <w:szCs w:val="24"/>
        </w:rPr>
        <w:t>valor do IEF a quant</w:t>
      </w:r>
      <w:r w:rsidR="00854C46" w:rsidRPr="004935AA">
        <w:rPr>
          <w:sz w:val="24"/>
          <w:szCs w:val="24"/>
        </w:rPr>
        <w:t xml:space="preserve">o do </w:t>
      </w:r>
      <w:r w:rsidR="003114F2">
        <w:rPr>
          <w:sz w:val="24"/>
          <w:szCs w:val="24"/>
        </w:rPr>
        <w:t>ICF.</w:t>
      </w:r>
    </w:p>
    <w:p w:rsidR="002F13D5" w:rsidRPr="00F6096E" w:rsidRDefault="00F86793" w:rsidP="00C459B3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6096E">
        <w:rPr>
          <w:b/>
          <w:sz w:val="24"/>
          <w:szCs w:val="24"/>
        </w:rPr>
        <w:t xml:space="preserve">Índice de </w:t>
      </w:r>
      <w:r w:rsidR="0021019D" w:rsidRPr="00F6096E">
        <w:rPr>
          <w:b/>
          <w:sz w:val="24"/>
          <w:szCs w:val="24"/>
        </w:rPr>
        <w:t>Efeito fiscal</w:t>
      </w:r>
      <w:r w:rsidR="00C228D5">
        <w:rPr>
          <w:b/>
          <w:sz w:val="24"/>
          <w:szCs w:val="24"/>
        </w:rPr>
        <w:t xml:space="preserve"> </w:t>
      </w:r>
      <w:r w:rsidR="00884A1A" w:rsidRPr="00F6096E">
        <w:rPr>
          <w:sz w:val="20"/>
          <w:szCs w:val="20"/>
        </w:rPr>
        <w:t>(</w:t>
      </w:r>
      <w:r w:rsidR="00F6096E" w:rsidRPr="00F6096E">
        <w:rPr>
          <w:sz w:val="20"/>
          <w:szCs w:val="20"/>
        </w:rPr>
        <w:t>Quanto maior melhor, pois ind</w:t>
      </w:r>
      <w:r w:rsidR="00152360">
        <w:rPr>
          <w:sz w:val="20"/>
          <w:szCs w:val="20"/>
        </w:rPr>
        <w:t>ica que o imposto pago é menor. A</w:t>
      </w:r>
      <w:r w:rsidR="00F6096E" w:rsidRPr="00F6096E">
        <w:rPr>
          <w:sz w:val="20"/>
          <w:szCs w:val="20"/>
        </w:rPr>
        <w:t xml:space="preserve"> </w:t>
      </w:r>
      <w:r w:rsidR="00152360">
        <w:rPr>
          <w:sz w:val="20"/>
          <w:szCs w:val="20"/>
        </w:rPr>
        <w:t>q</w:t>
      </w:r>
      <w:r w:rsidR="00F6096E" w:rsidRPr="00F6096E">
        <w:rPr>
          <w:sz w:val="20"/>
          <w:szCs w:val="20"/>
        </w:rPr>
        <w:t>uestão tributária fora do controle gestor da empresa</w:t>
      </w:r>
      <w:r w:rsidR="00884A1A" w:rsidRPr="00F6096E">
        <w:rPr>
          <w:sz w:val="20"/>
          <w:szCs w:val="20"/>
        </w:rPr>
        <w:t>)</w:t>
      </w:r>
      <w:r w:rsidR="00C228D5">
        <w:rPr>
          <w:sz w:val="24"/>
          <w:szCs w:val="24"/>
        </w:rPr>
        <w:t>:</w:t>
      </w:r>
    </w:p>
    <w:p w:rsidR="0021019D" w:rsidRPr="00AC644D" w:rsidRDefault="00F86793" w:rsidP="002F13D5">
      <w:pPr>
        <w:pStyle w:val="PargrafodaLista"/>
        <w:ind w:left="360"/>
        <w:rPr>
          <w:sz w:val="24"/>
          <w:szCs w:val="24"/>
        </w:rPr>
      </w:pPr>
      <w:r w:rsidRPr="00AC644D">
        <w:rPr>
          <w:sz w:val="24"/>
          <w:szCs w:val="24"/>
        </w:rPr>
        <w:t>O índice de efeito fiscal de 2014 a 201</w:t>
      </w:r>
      <w:r w:rsidR="003114F2">
        <w:rPr>
          <w:sz w:val="24"/>
          <w:szCs w:val="24"/>
        </w:rPr>
        <w:t>9</w:t>
      </w:r>
      <w:r w:rsidRPr="00AC644D">
        <w:rPr>
          <w:sz w:val="24"/>
          <w:szCs w:val="24"/>
        </w:rPr>
        <w:t xml:space="preserve"> </w:t>
      </w:r>
      <w:r w:rsidR="00C81A2F" w:rsidRPr="00AC644D">
        <w:rPr>
          <w:sz w:val="24"/>
          <w:szCs w:val="24"/>
        </w:rPr>
        <w:t>revela uma</w:t>
      </w:r>
      <w:r w:rsidRPr="00AC644D">
        <w:rPr>
          <w:sz w:val="24"/>
          <w:szCs w:val="24"/>
        </w:rPr>
        <w:t xml:space="preserve"> m</w:t>
      </w:r>
      <w:r w:rsidR="003173D7" w:rsidRPr="00AC644D">
        <w:rPr>
          <w:sz w:val="24"/>
          <w:szCs w:val="24"/>
        </w:rPr>
        <w:t>é</w:t>
      </w:r>
      <w:r w:rsidR="002F13D5">
        <w:rPr>
          <w:sz w:val="24"/>
          <w:szCs w:val="24"/>
        </w:rPr>
        <w:t xml:space="preserve">dia </w:t>
      </w:r>
      <w:r w:rsidR="00A20E4A" w:rsidRPr="00AC644D">
        <w:rPr>
          <w:sz w:val="24"/>
          <w:szCs w:val="24"/>
        </w:rPr>
        <w:t>de</w:t>
      </w:r>
      <w:r w:rsidR="003173D7" w:rsidRPr="00AC644D">
        <w:rPr>
          <w:sz w:val="24"/>
          <w:szCs w:val="24"/>
        </w:rPr>
        <w:t xml:space="preserve"> 32% </w:t>
      </w:r>
      <w:r w:rsidR="00C81A2F" w:rsidRPr="00AC644D">
        <w:rPr>
          <w:sz w:val="24"/>
          <w:szCs w:val="24"/>
        </w:rPr>
        <w:t>de impostos n</w:t>
      </w:r>
      <w:r w:rsidR="003173D7" w:rsidRPr="00AC644D">
        <w:rPr>
          <w:sz w:val="24"/>
          <w:szCs w:val="24"/>
        </w:rPr>
        <w:t>os 5 anos.</w:t>
      </w:r>
    </w:p>
    <w:p w:rsidR="00884A1A" w:rsidRPr="00197A2B" w:rsidRDefault="0021019D" w:rsidP="00F42EB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97A2B">
        <w:rPr>
          <w:b/>
          <w:sz w:val="24"/>
          <w:szCs w:val="24"/>
        </w:rPr>
        <w:t>ROE</w:t>
      </w:r>
      <w:r w:rsidR="00A76EAB" w:rsidRPr="00197A2B">
        <w:rPr>
          <w:b/>
          <w:sz w:val="24"/>
          <w:szCs w:val="24"/>
        </w:rPr>
        <w:t>:</w:t>
      </w:r>
      <w:r w:rsidR="00A76EAB" w:rsidRPr="00197A2B">
        <w:rPr>
          <w:sz w:val="24"/>
          <w:szCs w:val="24"/>
        </w:rPr>
        <w:t xml:space="preserve"> </w:t>
      </w:r>
      <w:r w:rsidR="00884A1A" w:rsidRPr="00197A2B">
        <w:rPr>
          <w:sz w:val="24"/>
          <w:szCs w:val="24"/>
        </w:rPr>
        <w:t>(</w:t>
      </w:r>
      <w:r w:rsidR="00884A1A" w:rsidRPr="007A6C71">
        <w:rPr>
          <w:sz w:val="20"/>
          <w:szCs w:val="20"/>
        </w:rPr>
        <w:t>Retorno</w:t>
      </w:r>
      <w:r w:rsidR="00884A1A" w:rsidRPr="00197A2B">
        <w:rPr>
          <w:sz w:val="24"/>
          <w:szCs w:val="24"/>
        </w:rPr>
        <w:t xml:space="preserve"> </w:t>
      </w:r>
      <w:r w:rsidR="00884A1A" w:rsidRPr="007A6C71">
        <w:rPr>
          <w:rFonts w:cstheme="minorHAnsi"/>
          <w:sz w:val="20"/>
          <w:szCs w:val="20"/>
        </w:rPr>
        <w:t xml:space="preserve">sobre patrimônio </w:t>
      </w:r>
      <w:r w:rsidR="00197A2B" w:rsidRPr="007A6C71">
        <w:rPr>
          <w:rFonts w:cstheme="minorHAnsi"/>
          <w:sz w:val="20"/>
          <w:szCs w:val="20"/>
        </w:rPr>
        <w:t>líquido= LL/PL</w:t>
      </w:r>
      <w:bookmarkStart w:id="0" w:name="_GoBack"/>
      <w:bookmarkEnd w:id="0"/>
      <w:r w:rsidR="00152360">
        <w:rPr>
          <w:rFonts w:cstheme="minorHAnsi"/>
          <w:sz w:val="20"/>
          <w:szCs w:val="20"/>
        </w:rPr>
        <w:t xml:space="preserve">. </w:t>
      </w:r>
      <w:r w:rsidR="00E511A9">
        <w:rPr>
          <w:rFonts w:cstheme="minorHAnsi"/>
          <w:sz w:val="20"/>
          <w:szCs w:val="20"/>
          <w:shd w:val="clear" w:color="auto" w:fill="FFFFFF"/>
        </w:rPr>
        <w:t>M</w:t>
      </w:r>
      <w:r w:rsidR="007A6C71" w:rsidRPr="007A6C71">
        <w:rPr>
          <w:rFonts w:cstheme="minorHAnsi"/>
          <w:sz w:val="20"/>
          <w:szCs w:val="20"/>
          <w:shd w:val="clear" w:color="auto" w:fill="FFFFFF"/>
        </w:rPr>
        <w:t>ede a capacidade de agregar valor de uma empresa à partir de seus próprios recursos e do dinheiro de investidores)</w:t>
      </w:r>
      <w:r w:rsidR="000C35BE">
        <w:rPr>
          <w:rFonts w:cstheme="minorHAnsi"/>
          <w:sz w:val="20"/>
          <w:szCs w:val="20"/>
          <w:shd w:val="clear" w:color="auto" w:fill="FFFFFF"/>
        </w:rPr>
        <w:t>:</w:t>
      </w:r>
    </w:p>
    <w:p w:rsidR="00A0121C" w:rsidRPr="00A76EAB" w:rsidRDefault="00BA73C0" w:rsidP="002F13D5">
      <w:pPr>
        <w:pStyle w:val="PargrafodaLista"/>
        <w:ind w:left="360"/>
        <w:rPr>
          <w:sz w:val="24"/>
          <w:szCs w:val="24"/>
        </w:rPr>
      </w:pPr>
      <w:r w:rsidRPr="00A76EAB">
        <w:rPr>
          <w:sz w:val="24"/>
          <w:szCs w:val="24"/>
        </w:rPr>
        <w:t xml:space="preserve">Em 2015 o ROE </w:t>
      </w:r>
      <w:r w:rsidR="0074370A" w:rsidRPr="00A76EAB">
        <w:rPr>
          <w:sz w:val="24"/>
          <w:szCs w:val="24"/>
        </w:rPr>
        <w:t xml:space="preserve">subiu </w:t>
      </w:r>
      <w:r w:rsidR="00A17A1C">
        <w:rPr>
          <w:sz w:val="24"/>
          <w:szCs w:val="24"/>
        </w:rPr>
        <w:t xml:space="preserve">devido ao MLF e ao ROIC, que </w:t>
      </w:r>
      <w:r w:rsidR="0074370A" w:rsidRPr="00A76EAB">
        <w:rPr>
          <w:sz w:val="24"/>
          <w:szCs w:val="24"/>
        </w:rPr>
        <w:t xml:space="preserve">apesar </w:t>
      </w:r>
      <w:r w:rsidR="004F3B5A">
        <w:rPr>
          <w:sz w:val="24"/>
          <w:szCs w:val="24"/>
        </w:rPr>
        <w:t>de ter diminuído seu</w:t>
      </w:r>
      <w:r w:rsidR="0074370A" w:rsidRPr="00A76EAB">
        <w:rPr>
          <w:sz w:val="24"/>
          <w:szCs w:val="24"/>
        </w:rPr>
        <w:t xml:space="preserve"> </w:t>
      </w:r>
      <w:r w:rsidR="00A17A1C">
        <w:rPr>
          <w:sz w:val="24"/>
          <w:szCs w:val="24"/>
        </w:rPr>
        <w:t>GC</w:t>
      </w:r>
      <w:r w:rsidR="0074370A" w:rsidRPr="00A76EAB">
        <w:rPr>
          <w:sz w:val="24"/>
          <w:szCs w:val="24"/>
        </w:rPr>
        <w:t xml:space="preserve"> </w:t>
      </w:r>
      <w:r w:rsidR="004F3B5A">
        <w:rPr>
          <w:sz w:val="24"/>
          <w:szCs w:val="24"/>
        </w:rPr>
        <w:t>elevou-se o MLO</w:t>
      </w:r>
      <w:r w:rsidR="0074370A" w:rsidRPr="00A76EAB">
        <w:rPr>
          <w:sz w:val="24"/>
          <w:szCs w:val="24"/>
        </w:rPr>
        <w:t>.</w:t>
      </w:r>
      <w:r w:rsidR="00A76EAB" w:rsidRPr="00A76EAB">
        <w:rPr>
          <w:sz w:val="24"/>
          <w:szCs w:val="24"/>
        </w:rPr>
        <w:t xml:space="preserve"> </w:t>
      </w:r>
      <w:r w:rsidR="00E95758" w:rsidRPr="00A76EAB">
        <w:rPr>
          <w:sz w:val="24"/>
          <w:szCs w:val="24"/>
        </w:rPr>
        <w:t xml:space="preserve">Em </w:t>
      </w:r>
      <w:r w:rsidR="00A10536" w:rsidRPr="00A76EAB">
        <w:rPr>
          <w:sz w:val="24"/>
          <w:szCs w:val="24"/>
        </w:rPr>
        <w:t xml:space="preserve">2016 </w:t>
      </w:r>
      <w:r w:rsidR="00E95758" w:rsidRPr="00A76EAB">
        <w:rPr>
          <w:sz w:val="24"/>
          <w:szCs w:val="24"/>
        </w:rPr>
        <w:t>o ROI diminuiu um pouco</w:t>
      </w:r>
      <w:r w:rsidR="00A10536" w:rsidRPr="00A76EAB">
        <w:rPr>
          <w:sz w:val="24"/>
          <w:szCs w:val="24"/>
        </w:rPr>
        <w:t xml:space="preserve"> </w:t>
      </w:r>
      <w:r w:rsidR="00E95758" w:rsidRPr="00A76EAB">
        <w:rPr>
          <w:sz w:val="24"/>
          <w:szCs w:val="24"/>
        </w:rPr>
        <w:t xml:space="preserve">devido ao fator </w:t>
      </w:r>
      <w:r w:rsidR="004F3B5A">
        <w:rPr>
          <w:sz w:val="24"/>
          <w:szCs w:val="24"/>
        </w:rPr>
        <w:t>MLF</w:t>
      </w:r>
      <w:r w:rsidR="00E95758" w:rsidRPr="00A76EAB">
        <w:rPr>
          <w:sz w:val="24"/>
          <w:szCs w:val="24"/>
        </w:rPr>
        <w:t xml:space="preserve">, </w:t>
      </w:r>
      <w:r w:rsidR="004F3B5A">
        <w:rPr>
          <w:sz w:val="24"/>
          <w:szCs w:val="24"/>
        </w:rPr>
        <w:t>com</w:t>
      </w:r>
      <w:r w:rsidR="00E95758" w:rsidRPr="00A76EAB">
        <w:rPr>
          <w:sz w:val="24"/>
          <w:szCs w:val="24"/>
        </w:rPr>
        <w:t xml:space="preserve"> </w:t>
      </w:r>
      <w:r w:rsidR="004F3B5A">
        <w:rPr>
          <w:sz w:val="24"/>
          <w:szCs w:val="24"/>
        </w:rPr>
        <w:t>IEF baixo (</w:t>
      </w:r>
      <w:r w:rsidR="00E95758" w:rsidRPr="00A76EAB">
        <w:rPr>
          <w:sz w:val="24"/>
          <w:szCs w:val="24"/>
        </w:rPr>
        <w:t xml:space="preserve">aumento de </w:t>
      </w:r>
      <w:r w:rsidR="004F3B5A">
        <w:rPr>
          <w:sz w:val="24"/>
          <w:szCs w:val="24"/>
        </w:rPr>
        <w:t>CI de</w:t>
      </w:r>
      <w:r w:rsidR="00E95758" w:rsidRPr="00A76EAB">
        <w:rPr>
          <w:sz w:val="24"/>
          <w:szCs w:val="24"/>
        </w:rPr>
        <w:t xml:space="preserve"> 4% e </w:t>
      </w:r>
      <w:r w:rsidR="004F3B5A">
        <w:rPr>
          <w:sz w:val="24"/>
          <w:szCs w:val="24"/>
        </w:rPr>
        <w:t>do PL de 13%)</w:t>
      </w:r>
      <w:r w:rsidR="00E95758" w:rsidRPr="00A76EAB">
        <w:rPr>
          <w:sz w:val="24"/>
          <w:szCs w:val="24"/>
        </w:rPr>
        <w:t>.</w:t>
      </w:r>
      <w:r w:rsidR="00A76EAB" w:rsidRPr="00A76EAB">
        <w:rPr>
          <w:sz w:val="24"/>
          <w:szCs w:val="24"/>
        </w:rPr>
        <w:t xml:space="preserve"> </w:t>
      </w:r>
      <w:r w:rsidR="00E95758" w:rsidRPr="00A76EAB">
        <w:rPr>
          <w:sz w:val="24"/>
          <w:szCs w:val="24"/>
        </w:rPr>
        <w:t xml:space="preserve">Em </w:t>
      </w:r>
      <w:r w:rsidR="00A10536" w:rsidRPr="00A76EAB">
        <w:rPr>
          <w:sz w:val="24"/>
          <w:szCs w:val="24"/>
        </w:rPr>
        <w:t xml:space="preserve">2017 </w:t>
      </w:r>
      <w:r w:rsidR="00E95758" w:rsidRPr="00A76EAB">
        <w:rPr>
          <w:sz w:val="24"/>
          <w:szCs w:val="24"/>
        </w:rPr>
        <w:t>o</w:t>
      </w:r>
      <w:r w:rsidR="00A10536" w:rsidRPr="00A76EAB">
        <w:rPr>
          <w:sz w:val="24"/>
          <w:szCs w:val="24"/>
        </w:rPr>
        <w:t xml:space="preserve"> ROI </w:t>
      </w:r>
      <w:r w:rsidR="00E95758" w:rsidRPr="00A76EAB">
        <w:rPr>
          <w:sz w:val="24"/>
          <w:szCs w:val="24"/>
        </w:rPr>
        <w:t xml:space="preserve">aumentou devido ao ROIC e principalmente porque teve um aumento no </w:t>
      </w:r>
      <w:r w:rsidR="004F3B5A">
        <w:rPr>
          <w:sz w:val="24"/>
          <w:szCs w:val="24"/>
        </w:rPr>
        <w:t>MLF, ta</w:t>
      </w:r>
      <w:r w:rsidR="00E95758" w:rsidRPr="00A76EAB">
        <w:rPr>
          <w:sz w:val="24"/>
          <w:szCs w:val="24"/>
        </w:rPr>
        <w:t xml:space="preserve">nto em relação ao </w:t>
      </w:r>
      <w:r w:rsidR="004F3B5A">
        <w:rPr>
          <w:sz w:val="24"/>
          <w:szCs w:val="24"/>
        </w:rPr>
        <w:t>IEF</w:t>
      </w:r>
      <w:r w:rsidR="00E95758" w:rsidRPr="00A76EAB">
        <w:rPr>
          <w:sz w:val="24"/>
          <w:szCs w:val="24"/>
        </w:rPr>
        <w:t xml:space="preserve"> </w:t>
      </w:r>
      <w:r w:rsidR="004F3B5A">
        <w:rPr>
          <w:sz w:val="24"/>
          <w:szCs w:val="24"/>
        </w:rPr>
        <w:t>quanto ao ICF (o</w:t>
      </w:r>
      <w:r w:rsidR="00E95758" w:rsidRPr="00A76EAB">
        <w:rPr>
          <w:sz w:val="24"/>
          <w:szCs w:val="24"/>
        </w:rPr>
        <w:t xml:space="preserve"> EBT subiu 34% </w:t>
      </w:r>
      <w:r w:rsidR="004F3B5A">
        <w:rPr>
          <w:sz w:val="24"/>
          <w:szCs w:val="24"/>
        </w:rPr>
        <w:t>e</w:t>
      </w:r>
      <w:r w:rsidR="00AC07D3">
        <w:rPr>
          <w:sz w:val="24"/>
          <w:szCs w:val="24"/>
        </w:rPr>
        <w:t>nquanto</w:t>
      </w:r>
      <w:r w:rsidR="00E95758" w:rsidRPr="00A76EAB">
        <w:rPr>
          <w:sz w:val="24"/>
          <w:szCs w:val="24"/>
        </w:rPr>
        <w:t xml:space="preserve"> o EBIT 11 % e um aumento de 9% de </w:t>
      </w:r>
      <w:r w:rsidR="00AC07D3">
        <w:rPr>
          <w:sz w:val="24"/>
          <w:szCs w:val="24"/>
        </w:rPr>
        <w:t>CI</w:t>
      </w:r>
      <w:r w:rsidR="00E95758" w:rsidRPr="00A76EAB">
        <w:rPr>
          <w:sz w:val="24"/>
          <w:szCs w:val="24"/>
        </w:rPr>
        <w:t xml:space="preserve"> </w:t>
      </w:r>
      <w:r w:rsidR="00AC07D3">
        <w:rPr>
          <w:sz w:val="24"/>
          <w:szCs w:val="24"/>
        </w:rPr>
        <w:t>contra 7% de PL</w:t>
      </w:r>
      <w:r w:rsidR="004F3B5A">
        <w:rPr>
          <w:sz w:val="24"/>
          <w:szCs w:val="24"/>
        </w:rPr>
        <w:t>)</w:t>
      </w:r>
      <w:r w:rsidR="00A76EAB" w:rsidRPr="00A76EAB">
        <w:rPr>
          <w:sz w:val="24"/>
          <w:szCs w:val="24"/>
        </w:rPr>
        <w:t xml:space="preserve">. </w:t>
      </w:r>
      <w:r w:rsidR="0074370A" w:rsidRPr="00A76EAB">
        <w:rPr>
          <w:sz w:val="24"/>
          <w:szCs w:val="24"/>
        </w:rPr>
        <w:t xml:space="preserve">Em </w:t>
      </w:r>
      <w:r w:rsidR="00A10536" w:rsidRPr="00A76EAB">
        <w:rPr>
          <w:sz w:val="24"/>
          <w:szCs w:val="24"/>
        </w:rPr>
        <w:t xml:space="preserve">2018 </w:t>
      </w:r>
      <w:r w:rsidR="0074370A" w:rsidRPr="00A76EAB">
        <w:rPr>
          <w:sz w:val="24"/>
          <w:szCs w:val="24"/>
        </w:rPr>
        <w:t xml:space="preserve">o ROI </w:t>
      </w:r>
      <w:r w:rsidR="00AC07D3">
        <w:rPr>
          <w:sz w:val="24"/>
          <w:szCs w:val="24"/>
        </w:rPr>
        <w:t>aumentou devido ao ICF e ao MLO. A</w:t>
      </w:r>
      <w:r w:rsidR="0074370A" w:rsidRPr="00A76EAB">
        <w:rPr>
          <w:sz w:val="24"/>
          <w:szCs w:val="24"/>
        </w:rPr>
        <w:t xml:space="preserve">pesar do </w:t>
      </w:r>
      <w:r w:rsidR="00AC07D3">
        <w:rPr>
          <w:sz w:val="24"/>
          <w:szCs w:val="24"/>
        </w:rPr>
        <w:t>IEF</w:t>
      </w:r>
      <w:r w:rsidR="0074370A" w:rsidRPr="00A76EAB">
        <w:rPr>
          <w:sz w:val="24"/>
          <w:szCs w:val="24"/>
        </w:rPr>
        <w:t xml:space="preserve"> ser o menor </w:t>
      </w:r>
      <w:r w:rsidR="00AC07D3">
        <w:rPr>
          <w:sz w:val="24"/>
          <w:szCs w:val="24"/>
        </w:rPr>
        <w:t>d</w:t>
      </w:r>
      <w:r w:rsidR="0074370A" w:rsidRPr="00A76EAB">
        <w:rPr>
          <w:sz w:val="24"/>
          <w:szCs w:val="24"/>
        </w:rPr>
        <w:t xml:space="preserve">entre os 5 anos o </w:t>
      </w:r>
      <w:r w:rsidR="00AC07D3">
        <w:rPr>
          <w:sz w:val="24"/>
          <w:szCs w:val="24"/>
        </w:rPr>
        <w:t xml:space="preserve">ICF aumentou significativamente (EBT aumentou </w:t>
      </w:r>
      <w:r w:rsidR="0074370A" w:rsidRPr="00A76EAB">
        <w:rPr>
          <w:sz w:val="24"/>
          <w:szCs w:val="24"/>
        </w:rPr>
        <w:t>58%</w:t>
      </w:r>
      <w:r w:rsidR="00AC07D3">
        <w:rPr>
          <w:sz w:val="24"/>
          <w:szCs w:val="24"/>
        </w:rPr>
        <w:t>)</w:t>
      </w:r>
      <w:r w:rsidR="0074370A" w:rsidRPr="00A76EAB">
        <w:rPr>
          <w:sz w:val="24"/>
          <w:szCs w:val="24"/>
        </w:rPr>
        <w:t xml:space="preserve"> </w:t>
      </w:r>
      <w:r w:rsidR="00AC07D3">
        <w:rPr>
          <w:sz w:val="24"/>
          <w:szCs w:val="24"/>
        </w:rPr>
        <w:t xml:space="preserve">o que resultou no alto MLF e </w:t>
      </w:r>
      <w:r w:rsidR="0074370A" w:rsidRPr="00A76EAB">
        <w:rPr>
          <w:sz w:val="24"/>
          <w:szCs w:val="24"/>
        </w:rPr>
        <w:t>juntamente com o ROIC</w:t>
      </w:r>
      <w:r w:rsidR="0041318A" w:rsidRPr="00A76EAB">
        <w:rPr>
          <w:sz w:val="24"/>
          <w:szCs w:val="24"/>
        </w:rPr>
        <w:t xml:space="preserve"> </w:t>
      </w:r>
      <w:r w:rsidR="00AC07D3">
        <w:rPr>
          <w:sz w:val="24"/>
          <w:szCs w:val="24"/>
        </w:rPr>
        <w:t>que teve um alto MLO (aumento das</w:t>
      </w:r>
      <w:r w:rsidR="0041318A" w:rsidRPr="00A76EAB">
        <w:rPr>
          <w:sz w:val="24"/>
          <w:szCs w:val="24"/>
        </w:rPr>
        <w:t xml:space="preserve"> vendas</w:t>
      </w:r>
      <w:r w:rsidR="00AC07D3">
        <w:rPr>
          <w:sz w:val="24"/>
          <w:szCs w:val="24"/>
        </w:rPr>
        <w:t xml:space="preserve"> 6%</w:t>
      </w:r>
      <w:r w:rsidR="0041318A" w:rsidRPr="00A76EAB">
        <w:rPr>
          <w:sz w:val="24"/>
          <w:szCs w:val="24"/>
        </w:rPr>
        <w:t xml:space="preserve"> e as despesas não tiveram aumento significativo</w:t>
      </w:r>
      <w:r w:rsidR="00AC07D3">
        <w:rPr>
          <w:sz w:val="24"/>
          <w:szCs w:val="24"/>
        </w:rPr>
        <w:t>)</w:t>
      </w:r>
      <w:r w:rsidR="0041318A" w:rsidRPr="00A76EAB">
        <w:rPr>
          <w:sz w:val="24"/>
          <w:szCs w:val="24"/>
        </w:rPr>
        <w:t xml:space="preserve"> apesar do </w:t>
      </w:r>
      <w:r w:rsidR="00AC07D3">
        <w:rPr>
          <w:sz w:val="24"/>
          <w:szCs w:val="24"/>
        </w:rPr>
        <w:t>GC</w:t>
      </w:r>
      <w:r w:rsidR="0041318A" w:rsidRPr="00A76EAB">
        <w:rPr>
          <w:sz w:val="24"/>
          <w:szCs w:val="24"/>
        </w:rPr>
        <w:t xml:space="preserve"> ter caído um pouco</w:t>
      </w:r>
      <w:r w:rsidR="00F87B3A">
        <w:rPr>
          <w:sz w:val="24"/>
          <w:szCs w:val="24"/>
        </w:rPr>
        <w:t xml:space="preserve"> (</w:t>
      </w:r>
      <w:r w:rsidR="0041318A" w:rsidRPr="00A76EAB">
        <w:rPr>
          <w:sz w:val="24"/>
          <w:szCs w:val="24"/>
        </w:rPr>
        <w:t xml:space="preserve">o </w:t>
      </w:r>
      <w:r w:rsidR="00AC07D3">
        <w:rPr>
          <w:sz w:val="24"/>
          <w:szCs w:val="24"/>
        </w:rPr>
        <w:t>CI</w:t>
      </w:r>
      <w:r w:rsidR="0041318A" w:rsidRPr="00A76EAB">
        <w:rPr>
          <w:sz w:val="24"/>
          <w:szCs w:val="24"/>
        </w:rPr>
        <w:t xml:space="preserve"> com ativos fixos e NGC subiu 19%</w:t>
      </w:r>
      <w:r w:rsidR="00AC07D3">
        <w:rPr>
          <w:sz w:val="24"/>
          <w:szCs w:val="24"/>
        </w:rPr>
        <w:t>)</w:t>
      </w:r>
      <w:r w:rsidR="0041318A" w:rsidRPr="00A76EAB">
        <w:rPr>
          <w:sz w:val="24"/>
          <w:szCs w:val="24"/>
        </w:rPr>
        <w:t>.</w:t>
      </w:r>
      <w:r w:rsidR="00A76EAB" w:rsidRPr="00A76EAB">
        <w:rPr>
          <w:sz w:val="24"/>
          <w:szCs w:val="24"/>
        </w:rPr>
        <w:t xml:space="preserve"> </w:t>
      </w:r>
      <w:r w:rsidR="006F7086" w:rsidRPr="00A76EAB">
        <w:rPr>
          <w:sz w:val="24"/>
          <w:szCs w:val="24"/>
        </w:rPr>
        <w:t xml:space="preserve">Em </w:t>
      </w:r>
      <w:r w:rsidRPr="00A76EAB">
        <w:rPr>
          <w:sz w:val="24"/>
          <w:szCs w:val="24"/>
        </w:rPr>
        <w:t xml:space="preserve">2019 </w:t>
      </w:r>
      <w:r w:rsidR="00F87B3A">
        <w:rPr>
          <w:sz w:val="24"/>
          <w:szCs w:val="24"/>
        </w:rPr>
        <w:t xml:space="preserve">o ROE subiu </w:t>
      </w:r>
      <w:r w:rsidR="00B86ABA">
        <w:rPr>
          <w:sz w:val="24"/>
          <w:szCs w:val="24"/>
        </w:rPr>
        <w:t>devido</w:t>
      </w:r>
      <w:r w:rsidR="00F87B3A">
        <w:rPr>
          <w:sz w:val="24"/>
          <w:szCs w:val="24"/>
        </w:rPr>
        <w:t xml:space="preserve"> ao MLF, pois o</w:t>
      </w:r>
      <w:r w:rsidR="00A0121C" w:rsidRPr="00A76EAB">
        <w:rPr>
          <w:sz w:val="24"/>
          <w:szCs w:val="24"/>
        </w:rPr>
        <w:t xml:space="preserve"> ROIC caiu </w:t>
      </w:r>
      <w:r w:rsidR="00F87B3A">
        <w:rPr>
          <w:sz w:val="24"/>
          <w:szCs w:val="24"/>
        </w:rPr>
        <w:t>por</w:t>
      </w:r>
      <w:r w:rsidR="00A0121C" w:rsidRPr="00A76EAB">
        <w:rPr>
          <w:sz w:val="24"/>
          <w:szCs w:val="24"/>
        </w:rPr>
        <w:t xml:space="preserve"> </w:t>
      </w:r>
      <w:r w:rsidR="0024623F" w:rsidRPr="00A76EAB">
        <w:rPr>
          <w:sz w:val="24"/>
          <w:szCs w:val="24"/>
        </w:rPr>
        <w:t xml:space="preserve">ter </w:t>
      </w:r>
      <w:r w:rsidR="00F87B3A">
        <w:rPr>
          <w:sz w:val="24"/>
          <w:szCs w:val="24"/>
        </w:rPr>
        <w:t>diminuído GC</w:t>
      </w:r>
      <w:r w:rsidR="00A0121C" w:rsidRPr="00A76EAB">
        <w:rPr>
          <w:sz w:val="24"/>
          <w:szCs w:val="24"/>
        </w:rPr>
        <w:t xml:space="preserve"> </w:t>
      </w:r>
      <w:r w:rsidR="00F87B3A">
        <w:rPr>
          <w:sz w:val="24"/>
          <w:szCs w:val="24"/>
        </w:rPr>
        <w:t>(</w:t>
      </w:r>
      <w:r w:rsidR="00A0121C" w:rsidRPr="00A76EAB">
        <w:rPr>
          <w:sz w:val="24"/>
          <w:szCs w:val="24"/>
        </w:rPr>
        <w:t xml:space="preserve">pequeno aumento nas vendas </w:t>
      </w:r>
      <w:r w:rsidR="00F87B3A">
        <w:rPr>
          <w:sz w:val="24"/>
          <w:szCs w:val="24"/>
        </w:rPr>
        <w:t xml:space="preserve">de </w:t>
      </w:r>
      <w:r w:rsidR="00A0121C" w:rsidRPr="00A76EAB">
        <w:rPr>
          <w:sz w:val="24"/>
          <w:szCs w:val="24"/>
        </w:rPr>
        <w:t xml:space="preserve">1% e o grande aumento de </w:t>
      </w:r>
      <w:r w:rsidR="00F87B3A">
        <w:rPr>
          <w:sz w:val="24"/>
          <w:szCs w:val="24"/>
        </w:rPr>
        <w:t>CI de</w:t>
      </w:r>
      <w:r w:rsidR="00A0121C" w:rsidRPr="00A76EAB">
        <w:rPr>
          <w:sz w:val="24"/>
          <w:szCs w:val="24"/>
        </w:rPr>
        <w:t xml:space="preserve"> 26% em NGC e ativos fixos</w:t>
      </w:r>
      <w:r w:rsidR="00F87B3A">
        <w:rPr>
          <w:sz w:val="24"/>
          <w:szCs w:val="24"/>
        </w:rPr>
        <w:t>)</w:t>
      </w:r>
      <w:r w:rsidR="00A0121C" w:rsidRPr="00A76EAB">
        <w:rPr>
          <w:sz w:val="24"/>
          <w:szCs w:val="24"/>
        </w:rPr>
        <w:t xml:space="preserve">. No entanto o </w:t>
      </w:r>
      <w:r w:rsidR="00F87B3A">
        <w:rPr>
          <w:sz w:val="24"/>
          <w:szCs w:val="24"/>
        </w:rPr>
        <w:t>ICF</w:t>
      </w:r>
      <w:r w:rsidR="0024623F" w:rsidRPr="00A76EAB">
        <w:rPr>
          <w:sz w:val="24"/>
          <w:szCs w:val="24"/>
        </w:rPr>
        <w:t xml:space="preserve"> subiu </w:t>
      </w:r>
      <w:r w:rsidR="00F87B3A">
        <w:rPr>
          <w:sz w:val="24"/>
          <w:szCs w:val="24"/>
        </w:rPr>
        <w:t>(</w:t>
      </w:r>
      <w:r w:rsidR="0024623F" w:rsidRPr="00A76EAB">
        <w:rPr>
          <w:sz w:val="24"/>
          <w:szCs w:val="24"/>
        </w:rPr>
        <w:t>aumento de 21 % do EBT com crescimento da receita financeira de 122%</w:t>
      </w:r>
      <w:r w:rsidR="00F87B3A">
        <w:rPr>
          <w:sz w:val="24"/>
          <w:szCs w:val="24"/>
        </w:rPr>
        <w:t>)</w:t>
      </w:r>
      <w:r w:rsidR="0024623F" w:rsidRPr="00A76EAB">
        <w:rPr>
          <w:sz w:val="24"/>
          <w:szCs w:val="24"/>
        </w:rPr>
        <w:t xml:space="preserve"> </w:t>
      </w:r>
      <w:r w:rsidR="00F87B3A">
        <w:rPr>
          <w:sz w:val="24"/>
          <w:szCs w:val="24"/>
        </w:rPr>
        <w:t>juntamente com o IEF (CI</w:t>
      </w:r>
      <w:r w:rsidR="0024623F" w:rsidRPr="00A76EAB">
        <w:rPr>
          <w:sz w:val="24"/>
          <w:szCs w:val="24"/>
        </w:rPr>
        <w:t xml:space="preserve"> subiu 26%</w:t>
      </w:r>
      <w:r w:rsidR="00F87B3A">
        <w:rPr>
          <w:sz w:val="24"/>
          <w:szCs w:val="24"/>
        </w:rPr>
        <w:t xml:space="preserve"> em NCG e Ativos fixos</w:t>
      </w:r>
      <w:r w:rsidR="000A6D9A">
        <w:rPr>
          <w:sz w:val="24"/>
          <w:szCs w:val="24"/>
        </w:rPr>
        <w:t>)</w:t>
      </w:r>
      <w:r w:rsidR="0024623F" w:rsidRPr="00A76EAB">
        <w:rPr>
          <w:sz w:val="24"/>
          <w:szCs w:val="24"/>
        </w:rPr>
        <w:t xml:space="preserve"> </w:t>
      </w:r>
      <w:r w:rsidR="00B86ABA">
        <w:rPr>
          <w:sz w:val="24"/>
          <w:szCs w:val="24"/>
        </w:rPr>
        <w:t>com</w:t>
      </w:r>
      <w:r w:rsidR="000A6D9A">
        <w:rPr>
          <w:sz w:val="24"/>
          <w:szCs w:val="24"/>
        </w:rPr>
        <w:t xml:space="preserve"> a </w:t>
      </w:r>
      <w:r w:rsidR="0024623F" w:rsidRPr="00A76EAB">
        <w:rPr>
          <w:sz w:val="24"/>
          <w:szCs w:val="24"/>
        </w:rPr>
        <w:t xml:space="preserve">maior alavancagem dentre </w:t>
      </w:r>
      <w:r w:rsidR="000A6D9A">
        <w:rPr>
          <w:sz w:val="24"/>
          <w:szCs w:val="24"/>
        </w:rPr>
        <w:t>os</w:t>
      </w:r>
      <w:r w:rsidR="0024623F" w:rsidRPr="00A76EAB">
        <w:rPr>
          <w:sz w:val="24"/>
          <w:szCs w:val="24"/>
        </w:rPr>
        <w:t xml:space="preserve"> 5 anos.</w:t>
      </w:r>
    </w:p>
    <w:p w:rsidR="000C3559" w:rsidRPr="00AC644D" w:rsidRDefault="000C3559">
      <w:pPr>
        <w:rPr>
          <w:sz w:val="24"/>
          <w:szCs w:val="24"/>
        </w:rPr>
      </w:pPr>
    </w:p>
    <w:sectPr w:rsidR="000C3559" w:rsidRPr="00AC6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26B12"/>
    <w:multiLevelType w:val="hybridMultilevel"/>
    <w:tmpl w:val="FE465E5C"/>
    <w:lvl w:ilvl="0" w:tplc="8C341ECC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D35551"/>
    <w:multiLevelType w:val="hybridMultilevel"/>
    <w:tmpl w:val="B07E4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3C3"/>
    <w:rsid w:val="000009ED"/>
    <w:rsid w:val="0001469A"/>
    <w:rsid w:val="00092E2E"/>
    <w:rsid w:val="000A143E"/>
    <w:rsid w:val="000A30EE"/>
    <w:rsid w:val="000A6D9A"/>
    <w:rsid w:val="000C3559"/>
    <w:rsid w:val="000C35BE"/>
    <w:rsid w:val="00152360"/>
    <w:rsid w:val="00162F21"/>
    <w:rsid w:val="00165D55"/>
    <w:rsid w:val="00175A3E"/>
    <w:rsid w:val="001829A0"/>
    <w:rsid w:val="00197A2B"/>
    <w:rsid w:val="001B2BEB"/>
    <w:rsid w:val="001E68E9"/>
    <w:rsid w:val="0021019D"/>
    <w:rsid w:val="0024623F"/>
    <w:rsid w:val="0029707B"/>
    <w:rsid w:val="00297301"/>
    <w:rsid w:val="002F13D5"/>
    <w:rsid w:val="003114F2"/>
    <w:rsid w:val="003173D7"/>
    <w:rsid w:val="003704F4"/>
    <w:rsid w:val="00385539"/>
    <w:rsid w:val="003B57BF"/>
    <w:rsid w:val="0041318A"/>
    <w:rsid w:val="00482A82"/>
    <w:rsid w:val="004935AA"/>
    <w:rsid w:val="004B07B8"/>
    <w:rsid w:val="004F3B5A"/>
    <w:rsid w:val="00500BEF"/>
    <w:rsid w:val="00567C8F"/>
    <w:rsid w:val="005913C3"/>
    <w:rsid w:val="005B181D"/>
    <w:rsid w:val="005E3299"/>
    <w:rsid w:val="006059A8"/>
    <w:rsid w:val="0063156A"/>
    <w:rsid w:val="00643814"/>
    <w:rsid w:val="006A7841"/>
    <w:rsid w:val="006E0447"/>
    <w:rsid w:val="006F1AFC"/>
    <w:rsid w:val="006F7086"/>
    <w:rsid w:val="0074370A"/>
    <w:rsid w:val="00744D84"/>
    <w:rsid w:val="00765E23"/>
    <w:rsid w:val="007813C9"/>
    <w:rsid w:val="00781C52"/>
    <w:rsid w:val="007A6C71"/>
    <w:rsid w:val="008410B8"/>
    <w:rsid w:val="008451EF"/>
    <w:rsid w:val="00854C46"/>
    <w:rsid w:val="0085753C"/>
    <w:rsid w:val="00867FCB"/>
    <w:rsid w:val="00873BBC"/>
    <w:rsid w:val="00875FD3"/>
    <w:rsid w:val="00884A1A"/>
    <w:rsid w:val="008A212E"/>
    <w:rsid w:val="0090028D"/>
    <w:rsid w:val="00970569"/>
    <w:rsid w:val="00A0121C"/>
    <w:rsid w:val="00A01ACA"/>
    <w:rsid w:val="00A10536"/>
    <w:rsid w:val="00A17A1C"/>
    <w:rsid w:val="00A20E4A"/>
    <w:rsid w:val="00A34460"/>
    <w:rsid w:val="00A64897"/>
    <w:rsid w:val="00A76EAB"/>
    <w:rsid w:val="00AC07D3"/>
    <w:rsid w:val="00AC644D"/>
    <w:rsid w:val="00B214A4"/>
    <w:rsid w:val="00B42114"/>
    <w:rsid w:val="00B70DC7"/>
    <w:rsid w:val="00B71D2E"/>
    <w:rsid w:val="00B86ABA"/>
    <w:rsid w:val="00BA73C0"/>
    <w:rsid w:val="00BF746E"/>
    <w:rsid w:val="00C12E64"/>
    <w:rsid w:val="00C228D5"/>
    <w:rsid w:val="00C26A41"/>
    <w:rsid w:val="00C35EF2"/>
    <w:rsid w:val="00C4389E"/>
    <w:rsid w:val="00C81A2F"/>
    <w:rsid w:val="00CE5561"/>
    <w:rsid w:val="00DC1F78"/>
    <w:rsid w:val="00E125B1"/>
    <w:rsid w:val="00E511A9"/>
    <w:rsid w:val="00E631BC"/>
    <w:rsid w:val="00E91912"/>
    <w:rsid w:val="00E95758"/>
    <w:rsid w:val="00EA23A6"/>
    <w:rsid w:val="00ED0A46"/>
    <w:rsid w:val="00EE018D"/>
    <w:rsid w:val="00F1732B"/>
    <w:rsid w:val="00F6096E"/>
    <w:rsid w:val="00F81B95"/>
    <w:rsid w:val="00F86793"/>
    <w:rsid w:val="00F87B3A"/>
    <w:rsid w:val="00F978C0"/>
    <w:rsid w:val="00FC2CAD"/>
    <w:rsid w:val="00FC6508"/>
    <w:rsid w:val="00FD1C38"/>
    <w:rsid w:val="00FD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390310-CB22-4092-A4D6-D5C69E53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0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</Pages>
  <Words>918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LEONI</dc:creator>
  <cp:keywords/>
  <dc:description/>
  <cp:lastModifiedBy>IVAN LEONI</cp:lastModifiedBy>
  <cp:revision>76</cp:revision>
  <dcterms:created xsi:type="dcterms:W3CDTF">2020-07-05T21:10:00Z</dcterms:created>
  <dcterms:modified xsi:type="dcterms:W3CDTF">2020-07-16T03:45:00Z</dcterms:modified>
</cp:coreProperties>
</file>