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UNIVERSIDAD DE CÓRDOBA · DDSE3 2026-2 · RETO 1 · ENTREGABLE 3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STIRE — Elevator Pitch de 60 segundos</w:t>
      </w:r>
    </w:p>
    <w:p>
      <w:pPr>
        <w:pBdr>
          <w:bottom w:val="single" w:color="B45309" w:sz="12" w:space="6"/>
        </w:pBdr>
        <w:spacing w:after="22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Guión · Traducción y guía estratégica · Fonética · Oratoria · Evidencia ROCAS</w:t>
      </w:r>
    </w:p>
    <w:p>
      <w:pPr>
        <w:spacing w:after="120" w:before="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Equipo, aquí está el paquete completo del pitch. No es solo el texto en inglés: cada bloque viene con su traducción y con la razón por la que está escrito así, porque un guión que entiendes se dice con seguridad y uno que solo memorizas se nota que se memorizó.</w:t>
      </w:r>
    </w:p>
    <w:p>
      <w:pPr>
        <w:shd w:fill="FAF9F7" w:color="auto" w:val="clear"/>
        <w:spacing w:after="0" w:before="60" w:line="288"/>
        <w:ind w:left="160" w:right="16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Una decisión que tomamos a propósito: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el bloque de tecnología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no menciona Redis, Docker ni la cola de procesamiento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. Están diseñados, pero no construidos, y el guión lo dice en voz alta. La sección 5 explica por qué eso nos hace ganar puntos en lugar de perderlos.</w:t>
      </w:r>
    </w:p>
    <w:p>
      <w:pPr>
        <w:shd w:fill="FAF9F7" w:color="auto" w:val="clear"/>
        <w:spacing w:after="120" w:before="0" w:line="288"/>
        <w:ind w:left="160" w:right="160"/>
      </w:pPr>
      <w:r>
        <w:rPr>
          <w:rFonts w:ascii="Calibri" w:cs="Calibri" w:eastAsia="Calibri" w:hAnsi="Calibri"/>
          <w:color w:val="1F2937"/>
          <w:sz w:val="10"/>
          <w:szCs w:val="10"/>
        </w:rPr>
        <w:t xml:space="preserve"> </w:t>
      </w:r>
    </w:p>
    <w:tbl>
      <w:tblPr>
        <w:tblW w:type="dxa" w:w="10080"/>
        <w:tblBorders>
          <w:top w:val="single" w:color="D9D9D6" w:sz="4"/>
          <w:left w:val="single" w:color="D9D9D6" w:sz="4"/>
          <w:bottom w:val="single" w:color="D9D9D6" w:sz="4"/>
          <w:right w:val="single" w:color="D9D9D6" w:sz="4"/>
          <w:insideH w:val="single" w:color="D9D9D6" w:sz="4"/>
          <w:insideV w:val="single" w:color="D9D9D6" w:sz="4"/>
        </w:tblBorders>
      </w:tblPr>
      <w:tblGrid>
        <w:gridCol w:w="2500"/>
        <w:gridCol w:w="7580"/>
      </w:tblGrid>
      <w:tr>
        <w:tc>
          <w:tcPr>
            <w:tcW w:type="dxa" w:w="25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Proyecto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STIRE-Soft — Sistema Tutor Inteligente para la Resolución de Ejercicios</w:t>
            </w:r>
          </w:p>
        </w:tc>
      </w:tr>
      <w:tr>
        <w:tc>
          <w:tcPr>
            <w:tcW w:type="dxa" w:w="25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Curso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DDSE3 2026-2 — Dr. Raúl Emiro Toscano Miranda</w:t>
            </w:r>
          </w:p>
        </w:tc>
      </w:tr>
      <w:tr>
        <w:tc>
          <w:tcPr>
            <w:tcW w:type="dxa" w:w="25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Equipo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Jeider Gómez · Jorge Cervantes · José López · Julio Galvis · Pedro Romero</w:t>
            </w:r>
          </w:p>
        </w:tc>
      </w:tr>
      <w:tr>
        <w:tc>
          <w:tcPr>
            <w:tcW w:type="dxa" w:w="25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Voz del Reto 1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Pedro Romero (la voz rota en cada reto)</w:t>
            </w:r>
          </w:p>
        </w:tc>
      </w:tr>
      <w:tr>
        <w:tc>
          <w:tcPr>
            <w:tcW w:type="dxa" w:w="25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Duración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138 palabras · 55–60 s a ritmo de conversación normal (rango exigido: 130–140)</w:t>
            </w:r>
          </w:p>
        </w:tc>
      </w:tr>
      <w:tr>
        <w:tc>
          <w:tcPr>
            <w:tcW w:type="dxa" w:w="25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Sustentación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Martes 8 de septiembre · el guión se congela el viernes 4 a las 8:00 p. m.</w:t>
            </w:r>
          </w:p>
        </w:tc>
      </w:tr>
    </w:tbl>
    <w:p>
      <w:pPr>
        <w:pStyle w:val="Heading1"/>
        <w:pBdr>
          <w:bottom w:val="single" w:color="B45309" w:sz="8" w:space="5"/>
        </w:pBdr>
        <w:spacing w:after="180" w:before="400"/>
      </w:pPr>
      <w:r>
        <w:rPr>
          <w:rFonts w:ascii="Calibri" w:cs="Calibri" w:eastAsia="Calibri" w:hAnsi="Calibri"/>
          <w:b/>
          <w:bCs/>
          <w:color w:val="1F2937"/>
          <w:sz w:val="27"/>
          <w:szCs w:val="27"/>
        </w:rPr>
        <w:t xml:space="preserve">1 · El guión en inglés (60 segundos)</w:t>
      </w:r>
    </w:p>
    <w:p>
      <w:pPr>
        <w:spacing w:after="140" w:before="0" w:line="288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Este es el texto exacto que se dice en voz alta. Va memorizado, no leído.</w:t>
      </w:r>
    </w:p>
    <w:p>
      <w:pPr>
        <w:shd w:fill="F1F0EC" w:color="auto" w:val="clear"/>
        <w:spacing w:after="0" w:before="60" w:line="276"/>
        <w:ind w:left="180" w:right="180"/>
      </w:pPr>
      <w:r>
        <w:rPr>
          <w:rFonts w:ascii="Consolas" w:cs="Consolas" w:eastAsia="Consolas" w:hAnsi="Consolas"/>
          <w:b/>
          <w:bCs/>
          <w:color w:val="B45309"/>
          <w:sz w:val="19"/>
          <w:szCs w:val="19"/>
        </w:rPr>
        <w:t xml:space="preserve">[0:00 - 0:10s] HOOK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Picture a student at midnight, stuck on a program that will not run.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Nobody answers. By morning, she has decided programming is not for her.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/>
          <w:bCs/>
          <w:color w:val="B45309"/>
          <w:sz w:val="19"/>
          <w:szCs w:val="19"/>
        </w:rPr>
        <w:t xml:space="preserve">[0:10 - 0:25s] PROBLEM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That is our reality at the University of Cordoba. One teacher grades over eighty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algorithm students. Feedback takes days and arrives as a single number, so nobody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ever learns where their reasoning broke.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/>
          <w:bCs/>
          <w:color w:val="B45309"/>
          <w:sz w:val="19"/>
          <w:szCs w:val="19"/>
        </w:rPr>
        <w:t xml:space="preserve">[0:25 - 0:45s] SOLUTION &amp; VALUE PROP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STIRE closes that gap. A student submits real code; it runs in an isolated sandbox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and the grade comes back in seconds. Our tutor replies with questions, never with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answers. And mastery learning with spaced repetition decides what each student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should practise next.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/>
          <w:bCs/>
          <w:color w:val="B45309"/>
          <w:sz w:val="19"/>
          <w:szCs w:val="19"/>
        </w:rPr>
        <w:t xml:space="preserve">[0:45 - 1:00s] TECH STACK &amp; CTA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It is built on NestJS and PostgreSQL, with ports and adapters, so any piece can be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replaced. Execution and grading work today; the job queue is designed, not built.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Our repository is public: come and break it.</w:t>
      </w:r>
    </w:p>
    <w:p>
      <w:pPr>
        <w:shd w:fill="F1F0EC" w:color="auto" w:val="clear"/>
        <w:spacing w:after="120" w:before="0" w:line="288"/>
        <w:ind w:left="180" w:right="180"/>
      </w:pPr>
      <w:r>
        <w:rPr>
          <w:rFonts w:ascii="Calibri" w:cs="Calibri" w:eastAsia="Calibri" w:hAnsi="Calibri"/>
          <w:color w:val="1F2937"/>
          <w:sz w:val="12"/>
          <w:szCs w:val="12"/>
        </w:rPr>
        <w:t xml:space="preserve"> </w:t>
      </w:r>
    </w:p>
    <w:p>
      <w:pPr>
        <w:spacing w:after="140" w:before="0" w:line="288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138 palabras en total. Si al cronometrar se pasan de 62 segundos, no aceleren: recorten una frase del bloque 2. Acelerar es lo único que arruina el 30 % de «Pronunciación y Fluidez».</w:t>
      </w:r>
    </w:p>
    <w:p>
      <w:pPr>
        <w:pStyle w:val="Heading1"/>
        <w:pBdr>
          <w:bottom w:val="single" w:color="B45309" w:sz="8" w:space="5"/>
        </w:pBdr>
        <w:spacing w:after="180" w:before="400"/>
      </w:pPr>
      <w:r>
        <w:rPr>
          <w:rFonts w:ascii="Calibri" w:cs="Calibri" w:eastAsia="Calibri" w:hAnsi="Calibri"/>
          <w:b/>
          <w:bCs/>
          <w:color w:val="1F2937"/>
          <w:sz w:val="27"/>
          <w:szCs w:val="27"/>
        </w:rPr>
        <w:t xml:space="preserve">2 · Traducción y guía estratégica, bloque por bloque</w:t>
      </w:r>
    </w:p>
    <w:p>
      <w:pPr>
        <w:spacing w:after="140" w:before="0" w:line="288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Para que el pitch suene natural hay que entender la intención detrás de cada frase. Esto es lo que hay debajo de cada bloque: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B45309"/>
          <w:sz w:val="23"/>
          <w:szCs w:val="23"/>
        </w:rPr>
        <w:t xml:space="preserve">0:00 – 0:10 · HOOK (el gancho)</w:t>
      </w:r>
    </w:p>
    <w:p>
      <w:pPr>
        <w:shd w:fill="F1F0EC" w:color="auto" w:val="clear"/>
        <w:spacing w:after="0" w:before="6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Picture a student at midnight, stuck on a program that will not run.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Nobody answers. By morning, she has decided programming is not for her.</w:t>
      </w:r>
    </w:p>
    <w:p>
      <w:pPr>
        <w:shd w:fill="F1F0EC" w:color="auto" w:val="clear"/>
        <w:spacing w:after="120" w:before="0" w:line="288"/>
        <w:ind w:left="180" w:right="180"/>
      </w:pPr>
      <w:r>
        <w:rPr>
          <w:rFonts w:ascii="Calibri" w:cs="Calibri" w:eastAsia="Calibri" w:hAnsi="Calibri"/>
          <w:color w:val="1F2937"/>
          <w:sz w:val="10"/>
          <w:szCs w:val="10"/>
        </w:rPr>
        <w:t xml:space="preserve"> </w:t>
      </w:r>
    </w:p>
    <w:p>
      <w:pPr>
        <w:spacing w:after="120" w:before="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0"/>
          <w:szCs w:val="20"/>
        </w:rPr>
        <w:t xml:space="preserve">Traducción · </w:t>
      </w: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0"/>
          <w:szCs w:val="20"/>
        </w:rPr>
        <w:t xml:space="preserve">Imagina a un estudiante a medianoche, atascado con un programa que no arranca. Nadie responde. Al amanecer, ya decidió que la programación no es para ella.</w:t>
      </w:r>
    </w:p>
    <w:p>
      <w:pPr>
        <w:spacing w:after="60" w:before="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Por qué funciona</w:t>
      </w:r>
    </w:p>
    <w:p>
      <w:pPr>
        <w:spacing w:after="90" w:before="0" w:line="288"/>
        <w:ind w:left="2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—  Pudimos abrir con una estadística del tipo «el 70 % de los estudiantes olvida la lógica de programación en pocos días». Suena potente, pero tiene un problema: si el jurado pregunta de dónde salió ese número y no podemos citarlo, perdemos la credibilidad justo en el primer bloque. No vale la pena arriesgar los otros 50 segundos por un dato prestado.</w:t>
      </w:r>
    </w:p>
    <w:p>
      <w:pPr>
        <w:spacing w:after="90" w:before="0" w:line="288"/>
        <w:ind w:left="2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—  Por eso abrimos con una escena en lugar de un dato. Todos los que están en esa sala —el docente incluido— han sido ese estudiante a medianoche. Una escena no se puede refutar, y ese «she» del final convierte el problema en una persona concreta y no en un porcentaje.</w:t>
      </w:r>
    </w:p>
    <w:p>
      <w:pPr>
        <w:spacing w:after="90" w:before="0" w:line="288"/>
        <w:ind w:left="2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—  Cómo decirlo: las dos últimas frases van más despacio y un poco más bajo. El silencio después de «not for her» es parte del guión, no un olvido.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B45309"/>
          <w:sz w:val="23"/>
          <w:szCs w:val="23"/>
        </w:rPr>
        <w:t xml:space="preserve">0:10 – 0:25 · PROBLEM (el problema)</w:t>
      </w:r>
    </w:p>
    <w:p>
      <w:pPr>
        <w:shd w:fill="F1F0EC" w:color="auto" w:val="clear"/>
        <w:spacing w:after="0" w:before="6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That is our reality at the University of Cordoba. One teacher grades over eighty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algorithm students. Feedback takes days and arrives as a single number, so nobody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ever learns where their reasoning broke.</w:t>
      </w:r>
    </w:p>
    <w:p>
      <w:pPr>
        <w:shd w:fill="F1F0EC" w:color="auto" w:val="clear"/>
        <w:spacing w:after="120" w:before="0" w:line="288"/>
        <w:ind w:left="180" w:right="180"/>
      </w:pPr>
      <w:r>
        <w:rPr>
          <w:rFonts w:ascii="Calibri" w:cs="Calibri" w:eastAsia="Calibri" w:hAnsi="Calibri"/>
          <w:color w:val="1F2937"/>
          <w:sz w:val="10"/>
          <w:szCs w:val="10"/>
        </w:rPr>
        <w:t xml:space="preserve"> </w:t>
      </w:r>
    </w:p>
    <w:p>
      <w:pPr>
        <w:spacing w:after="120" w:before="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0"/>
          <w:szCs w:val="20"/>
        </w:rPr>
        <w:t xml:space="preserve">Traducción · </w:t>
      </w: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0"/>
          <w:szCs w:val="20"/>
        </w:rPr>
        <w:t xml:space="preserve">Esa es nuestra realidad en la Universidad de Córdoba. Un solo docente califica a más de ochenta estudiantes de algoritmia. La retroalimentación tarda días y llega como un único número, así que nadie llega a saber dónde se rompió su razonamiento.</w:t>
      </w:r>
    </w:p>
    <w:p>
      <w:pPr>
        <w:spacing w:after="60" w:before="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Por qué funciona</w:t>
      </w:r>
    </w:p>
    <w:p>
      <w:pPr>
        <w:spacing w:after="90" w:before="0" w:line="288"/>
        <w:ind w:left="2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—  Aterrizamos el problema en nuestra propia facultad en vez de atacar «las plataformas tradicionales» en abstracto. Es más difícil de discutir y demuestra que el proyecto nace de algo que vivimos, no de un artículo que leímos.</w:t>
      </w:r>
    </w:p>
    <w:p>
      <w:pPr>
        <w:spacing w:after="90" w:before="0" w:line="288"/>
        <w:ind w:left="2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—  «One teacher, eighty students» es una proporción que el jurado reconoce al instante porque la sufre. Y «a single number» es la frase que carga todo el peso: el problema no es que falte la nota, es que la nota no enseña nada.</w:t>
      </w:r>
    </w:p>
    <w:p>
      <w:pPr>
        <w:spacing w:after="90" w:before="0" w:line="288"/>
        <w:ind w:left="2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—  Cómo decirlo: marca «eighty» y «a single number» con un poco más de volumen. Son las dos cosas que quieres que se queden.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B45309"/>
          <w:sz w:val="23"/>
          <w:szCs w:val="23"/>
        </w:rPr>
        <w:t xml:space="preserve">0:25 – 0:45 · SOLUTION &amp; VALUE PROP (la solución)</w:t>
      </w:r>
    </w:p>
    <w:p>
      <w:pPr>
        <w:shd w:fill="F1F0EC" w:color="auto" w:val="clear"/>
        <w:spacing w:after="0" w:before="6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STIRE closes that gap. A student submits real code; it runs in an isolated sandbox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and the grade comes back in seconds. Our tutor replies with questions, never with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answers. And mastery learning with spaced repetition decides what each student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should practise next.</w:t>
      </w:r>
    </w:p>
    <w:p>
      <w:pPr>
        <w:shd w:fill="F1F0EC" w:color="auto" w:val="clear"/>
        <w:spacing w:after="120" w:before="0" w:line="288"/>
        <w:ind w:left="180" w:right="180"/>
      </w:pPr>
      <w:r>
        <w:rPr>
          <w:rFonts w:ascii="Calibri" w:cs="Calibri" w:eastAsia="Calibri" w:hAnsi="Calibri"/>
          <w:color w:val="1F2937"/>
          <w:sz w:val="10"/>
          <w:szCs w:val="10"/>
        </w:rPr>
        <w:t xml:space="preserve"> </w:t>
      </w:r>
    </w:p>
    <w:p>
      <w:pPr>
        <w:spacing w:after="120" w:before="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0"/>
          <w:szCs w:val="20"/>
        </w:rPr>
        <w:t xml:space="preserve">Traducción · </w:t>
      </w: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0"/>
          <w:szCs w:val="20"/>
        </w:rPr>
        <w:t xml:space="preserve">STIRE cierra esa brecha. El estudiante entrega código real; se ejecuta en un sandbox aislado y la nota vuelve en segundos. Nuestro tutor responde con preguntas, nunca con respuestas. Y el aprendizaje por dominio con repetición espaciada decide qué debe practicar cada estudiante a continuación.</w:t>
      </w:r>
    </w:p>
    <w:p>
      <w:pPr>
        <w:spacing w:after="60" w:before="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Por qué funciona</w:t>
      </w:r>
    </w:p>
    <w:p>
      <w:pPr>
        <w:spacing w:after="90" w:before="0" w:line="288"/>
        <w:ind w:left="2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—  Es el corazón del pitch y va en orden de menos a más abstracto: primero lo que se ve (el código corre de verdad), después lo que sorprende (el tutor no da respuestas), y al final lo que sostiene el modelo pedagógico (dominio más repetición espaciada). Ese orden importa: si empiezas por SM-2 pierdes a media sala antes del segundo 35.</w:t>
      </w:r>
    </w:p>
    <w:p>
      <w:pPr>
        <w:spacing w:after="90" w:before="0" w:line="288"/>
        <w:ind w:left="2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—  «Never with answers» es la frase que más va a gustar a un jurado de Informática Educativa, porque es exactamente lo que separa a un tutor de un buscador de respuestas. Dala con intención, no de pasada.</w:t>
      </w:r>
    </w:p>
    <w:p>
      <w:pPr>
        <w:spacing w:after="90" w:before="0" w:line="288"/>
        <w:ind w:left="2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—  Cómo decirlo: enumera los tres pilares con los dedos mientras los dices. La mano hace el trabajo de memorizar por la audiencia.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B45309"/>
          <w:sz w:val="23"/>
          <w:szCs w:val="23"/>
        </w:rPr>
        <w:t xml:space="preserve">0:45 – 1:00 · TECH STACK &amp; CTA (tecnología y cierre)</w:t>
      </w:r>
    </w:p>
    <w:p>
      <w:pPr>
        <w:shd w:fill="F1F0EC" w:color="auto" w:val="clear"/>
        <w:spacing w:after="0" w:before="6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It is built on NestJS and PostgreSQL, with ports and adapters, so any piece can be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replaced. Execution and grading work today; the job queue is designed, not built.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Our repository is public: come and break it.</w:t>
      </w:r>
    </w:p>
    <w:p>
      <w:pPr>
        <w:shd w:fill="F1F0EC" w:color="auto" w:val="clear"/>
        <w:spacing w:after="120" w:before="0" w:line="288"/>
        <w:ind w:left="180" w:right="180"/>
      </w:pPr>
      <w:r>
        <w:rPr>
          <w:rFonts w:ascii="Calibri" w:cs="Calibri" w:eastAsia="Calibri" w:hAnsi="Calibri"/>
          <w:color w:val="1F2937"/>
          <w:sz w:val="10"/>
          <w:szCs w:val="10"/>
        </w:rPr>
        <w:t xml:space="preserve"> </w:t>
      </w:r>
    </w:p>
    <w:p>
      <w:pPr>
        <w:spacing w:after="120" w:before="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0"/>
          <w:szCs w:val="20"/>
        </w:rPr>
        <w:t xml:space="preserve">Traducción · </w:t>
      </w: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0"/>
          <w:szCs w:val="20"/>
        </w:rPr>
        <w:t xml:space="preserve">Está construido sobre NestJS y PostgreSQL, con puertos y adaptadores, para que cualquier pieza pueda reemplazarse. La ejecución y la calificación funcionan hoy; la cola de trabajos está diseñada, no construida. Nuestro repositorio es público: vengan y rómpanlo.</w:t>
      </w:r>
    </w:p>
    <w:p>
      <w:pPr>
        <w:spacing w:after="60" w:before="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Por qué funciona</w:t>
      </w:r>
    </w:p>
    <w:p>
      <w:pPr>
        <w:spacing w:after="90" w:before="0" w:line="288"/>
        <w:ind w:left="2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—  Este es el bloque donde casi todos los equipos exageran: enumeran Redis, Docker, colas asíncronas y arquitectura event-driven aunque la mitad no exista todavía. Nosotros hacemos justo lo contrario, y por eso funciona.</w:t>
      </w:r>
    </w:p>
    <w:p>
      <w:pPr>
        <w:spacing w:after="90" w:before="0" w:line="288"/>
        <w:ind w:left="2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—  «Designed, not built» convierte una debilidad en una demostración de criterio de ingeniería. El jurado escucha cinco pitches; el único que dice qué le falta es el único al que le van a creer todo lo demás. Y además nos blinda: nadie puede pillarnos en algo que ya declaramos nosotros.</w:t>
      </w:r>
    </w:p>
    <w:p>
      <w:pPr>
        <w:spacing w:after="90" w:before="0" w:line="288"/>
        <w:ind w:left="2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—  «Come and break it» solo se puede decir si el repositorio es público de verdad, y el nuestro lo es. Es un cierre con confianza, no una invitación genérica a colaborar.</w:t>
      </w:r>
    </w:p>
    <w:p>
      <w:pPr>
        <w:spacing w:after="90" w:before="0" w:line="288"/>
        <w:ind w:left="2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—  Cómo decirlo: micro-pausa de un segundo antes de «Our repository is public». Pecho arriba, pies quietos, y baja el tono en «come and break it». Un cierre con entonación ascendente suena a pregunta, no a invitación.</w:t>
      </w:r>
    </w:p>
    <w:p>
      <w:pPr>
        <w:pStyle w:val="Heading1"/>
        <w:pBdr>
          <w:bottom w:val="single" w:color="B45309" w:sz="8" w:space="5"/>
        </w:pBdr>
        <w:spacing w:after="180" w:before="400"/>
      </w:pPr>
      <w:r>
        <w:rPr>
          <w:rFonts w:ascii="Calibri" w:cs="Calibri" w:eastAsia="Calibri" w:hAnsi="Calibri"/>
          <w:b/>
          <w:bCs/>
          <w:color w:val="1F2937"/>
          <w:sz w:val="27"/>
          <w:szCs w:val="27"/>
        </w:rPr>
        <w:t xml:space="preserve">3 · Guía fonética de los términos difíciles</w:t>
      </w:r>
    </w:p>
    <w:p>
      <w:pPr>
        <w:spacing w:after="140" w:before="0" w:line="288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La sílaba en MAYÚSCULA es la que lleva el acento. Está escrito para que un hispanohablante lo lea directamente, sin saber alfabeto fonético.</w:t>
      </w:r>
    </w:p>
    <w:tbl>
      <w:tblPr>
        <w:tblW w:type="dxa" w:w="10080"/>
        <w:tblBorders>
          <w:top w:val="single" w:color="D9D9D6" w:sz="4"/>
          <w:left w:val="single" w:color="D9D9D6" w:sz="4"/>
          <w:bottom w:val="single" w:color="D9D9D6" w:sz="4"/>
          <w:right w:val="single" w:color="D9D9D6" w:sz="4"/>
          <w:insideH w:val="single" w:color="D9D9D6" w:sz="4"/>
          <w:insideV w:val="single" w:color="D9D9D6" w:sz="4"/>
        </w:tblBorders>
      </w:tblPr>
      <w:tblGrid>
        <w:gridCol w:w="2200"/>
        <w:gridCol w:w="2600"/>
        <w:gridCol w:w="1400"/>
        <w:gridCol w:w="3880"/>
      </w:tblGrid>
      <w:tr>
        <w:trPr>
          <w:tblHeader/>
        </w:trPr>
        <w:tc>
          <w:tcPr>
            <w:tcW w:type="dxa" w:w="2200"/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2600"/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 pronuncia</w:t>
            </w:r>
          </w:p>
        </w:tc>
        <w:tc>
          <w:tcPr>
            <w:tcW w:type="dxa" w:w="1400"/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Tónica</w:t>
            </w:r>
          </w:p>
        </w:tc>
        <w:tc>
          <w:tcPr>
            <w:tcW w:type="dxa" w:w="3880"/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Ojo con esto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STIRE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STÁI-er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STÁI-er</w:t>
            </w:r>
          </w:p>
        </w:tc>
        <w:tc>
          <w:tcPr>
            <w:tcW w:type="dxa" w:w="3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Rima con «fire». Elijan una pronunciación entre los cinco y no la cambien en toda la presentación.</w:t>
            </w:r>
          </w:p>
        </w:tc>
      </w:tr>
      <w:tr>
        <w:tc>
          <w:tcPr>
            <w:tcW w:type="dxa" w:w="22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algorithm</w:t>
            </w:r>
          </w:p>
        </w:tc>
        <w:tc>
          <w:tcPr>
            <w:tcW w:type="dxa" w:w="26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ÁL-go-ri-dhom</w:t>
            </w:r>
          </w:p>
        </w:tc>
        <w:tc>
          <w:tcPr>
            <w:tcW w:type="dxa" w:w="14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ÁL-go</w:t>
            </w:r>
          </w:p>
        </w:tc>
        <w:tc>
          <w:tcPr>
            <w:tcW w:type="dxa" w:w="388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Acento en la primera sílaba. La «th» final es suave, con la lengua entre los dientes — nunca «t».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answers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ÁN-sers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ÁN</w:t>
            </w:r>
          </w:p>
        </w:tc>
        <w:tc>
          <w:tcPr>
            <w:tcW w:type="dxa" w:w="3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La «w» es muda. No digan «áns-uers».</w:t>
            </w:r>
          </w:p>
        </w:tc>
      </w:tr>
      <w:tr>
        <w:tc>
          <w:tcPr>
            <w:tcW w:type="dxa" w:w="22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reasoning</w:t>
            </w:r>
          </w:p>
        </w:tc>
        <w:tc>
          <w:tcPr>
            <w:tcW w:type="dxa" w:w="26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RÍI-so-ning</w:t>
            </w:r>
          </w:p>
        </w:tc>
        <w:tc>
          <w:tcPr>
            <w:tcW w:type="dxa" w:w="14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RÍI</w:t>
            </w:r>
          </w:p>
        </w:tc>
        <w:tc>
          <w:tcPr>
            <w:tcW w:type="dxa" w:w="388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«i» larga y la «s» vibrada, como un zumbido.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sandbox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SÁND-boks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SÁND</w:t>
            </w:r>
          </w:p>
        </w:tc>
        <w:tc>
          <w:tcPr>
            <w:tcW w:type="dxa" w:w="3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Acento en la primera. La «a» es abierta, entre «a» y «e».</w:t>
            </w:r>
          </w:p>
        </w:tc>
      </w:tr>
      <w:tr>
        <w:tc>
          <w:tcPr>
            <w:tcW w:type="dxa" w:w="22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isolated</w:t>
            </w:r>
          </w:p>
        </w:tc>
        <w:tc>
          <w:tcPr>
            <w:tcW w:type="dxa" w:w="26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ÁI-so-lei-ted</w:t>
            </w:r>
          </w:p>
        </w:tc>
        <w:tc>
          <w:tcPr>
            <w:tcW w:type="dxa" w:w="14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ÁI</w:t>
            </w:r>
          </w:p>
        </w:tc>
        <w:tc>
          <w:tcPr>
            <w:tcW w:type="dxa" w:w="388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Empieza con «ai», no con «i».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mastery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MÁS-te-ri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MÁS</w:t>
            </w:r>
          </w:p>
        </w:tc>
        <w:tc>
          <w:tcPr>
            <w:tcW w:type="dxa" w:w="3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Acento en la primera. No «mas-TÉ-ri».</w:t>
            </w:r>
          </w:p>
        </w:tc>
      </w:tr>
      <w:tr>
        <w:tc>
          <w:tcPr>
            <w:tcW w:type="dxa" w:w="22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spaced repetition</w:t>
            </w:r>
          </w:p>
        </w:tc>
        <w:tc>
          <w:tcPr>
            <w:tcW w:type="dxa" w:w="26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spéist re-pe-TÍ-shon</w:t>
            </w:r>
          </w:p>
        </w:tc>
        <w:tc>
          <w:tcPr>
            <w:tcW w:type="dxa" w:w="14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TÍ</w:t>
            </w:r>
          </w:p>
        </w:tc>
        <w:tc>
          <w:tcPr>
            <w:tcW w:type="dxa" w:w="388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Sin «e» delante: es «spéist», no «espéist». Es el error más común del español.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submits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sob-MITS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MITS</w:t>
            </w:r>
          </w:p>
        </w:tc>
        <w:tc>
          <w:tcPr>
            <w:tcW w:type="dxa" w:w="3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Acento en la segunda sílaba.</w:t>
            </w:r>
          </w:p>
        </w:tc>
      </w:tr>
      <w:tr>
        <w:tc>
          <w:tcPr>
            <w:tcW w:type="dxa" w:w="22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grade</w:t>
            </w:r>
          </w:p>
        </w:tc>
        <w:tc>
          <w:tcPr>
            <w:tcW w:type="dxa" w:w="26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gréid</w:t>
            </w:r>
          </w:p>
        </w:tc>
        <w:tc>
          <w:tcPr>
            <w:tcW w:type="dxa" w:w="14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gréid</w:t>
            </w:r>
          </w:p>
        </w:tc>
        <w:tc>
          <w:tcPr>
            <w:tcW w:type="dxa" w:w="388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Diptongo «ei». La «d» final se oye, pero suave.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repository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ri-PÓ-si-to-ri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PÓ</w:t>
            </w:r>
          </w:p>
        </w:tc>
        <w:tc>
          <w:tcPr>
            <w:tcW w:type="dxa" w:w="3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Acento en la segunda sílaba.</w:t>
            </w:r>
          </w:p>
        </w:tc>
      </w:tr>
      <w:tr>
        <w:tc>
          <w:tcPr>
            <w:tcW w:type="dxa" w:w="22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queue</w:t>
            </w:r>
          </w:p>
        </w:tc>
        <w:tc>
          <w:tcPr>
            <w:tcW w:type="dxa" w:w="26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kiú</w:t>
            </w:r>
          </w:p>
        </w:tc>
        <w:tc>
          <w:tcPr>
            <w:tcW w:type="dxa" w:w="14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kiú</w:t>
            </w:r>
          </w:p>
        </w:tc>
        <w:tc>
          <w:tcPr>
            <w:tcW w:type="dxa" w:w="388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Una sola sílaba. Solo suena la primera letra; las otras cuatro son mudas.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NestJS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nest-YÉI-es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YÉI</w:t>
            </w:r>
          </w:p>
        </w:tc>
        <w:tc>
          <w:tcPr>
            <w:tcW w:type="dxa" w:w="3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 deletrea: «Nest — J — S».</w:t>
            </w:r>
          </w:p>
        </w:tc>
      </w:tr>
      <w:tr>
        <w:tc>
          <w:tcPr>
            <w:tcW w:type="dxa" w:w="22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6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PÓUST-gres-kiú-EL</w:t>
            </w:r>
          </w:p>
        </w:tc>
        <w:tc>
          <w:tcPr>
            <w:tcW w:type="dxa" w:w="14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PÓUST</w:t>
            </w:r>
          </w:p>
        </w:tc>
        <w:tc>
          <w:tcPr>
            <w:tcW w:type="dxa" w:w="388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También vale «post-gres-cuel». Elijan una.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ports and adapters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ports-n-a-DÁP-ters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DÁP</w:t>
            </w:r>
          </w:p>
        </w:tc>
        <w:tc>
          <w:tcPr>
            <w:tcW w:type="dxa" w:w="3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Enlacen «ports and»: en inglés hablado suena casi como una sola palabra.</w:t>
            </w:r>
          </w:p>
        </w:tc>
      </w:tr>
      <w:tr>
        <w:tc>
          <w:tcPr>
            <w:tcW w:type="dxa" w:w="22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University of Cordoba</w:t>
            </w:r>
          </w:p>
        </w:tc>
        <w:tc>
          <w:tcPr>
            <w:tcW w:type="dxa" w:w="26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iu-ni-VÉR-si-ti of CÓR-do-ba</w:t>
            </w:r>
          </w:p>
        </w:tc>
        <w:tc>
          <w:tcPr>
            <w:tcW w:type="dxa" w:w="14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VÉR</w:t>
            </w:r>
          </w:p>
        </w:tc>
        <w:tc>
          <w:tcPr>
            <w:tcW w:type="dxa" w:w="388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«University» empieza con «iu». «Cordoba» déjenlo a la española, no lo fuercen.</w:t>
            </w:r>
          </w:p>
        </w:tc>
      </w:tr>
    </w:tbl>
    <w:p>
      <w:pPr>
        <w:pStyle w:val="Heading1"/>
        <w:pBdr>
          <w:bottom w:val="single" w:color="B45309" w:sz="8" w:space="5"/>
        </w:pBdr>
        <w:spacing w:after="180" w:before="400"/>
      </w:pPr>
      <w:r>
        <w:rPr>
          <w:rFonts w:ascii="Calibri" w:cs="Calibri" w:eastAsia="Calibri" w:hAnsi="Calibri"/>
          <w:b/>
          <w:bCs/>
          <w:color w:val="1F2937"/>
          <w:sz w:val="27"/>
          <w:szCs w:val="27"/>
        </w:rPr>
        <w:t xml:space="preserve">4 · Tres pautas de lenguaje corporal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B45309"/>
          <w:sz w:val="23"/>
          <w:szCs w:val="23"/>
        </w:rPr>
        <w:t xml:space="preserve">1. Mirada en tres anclas, y ninguna en el papel (0:00 – 0:10)</w:t>
      </w:r>
    </w:p>
    <w:p>
      <w:pPr>
        <w:spacing w:after="140" w:before="0" w:line="288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Elijan tres puntos de la sala —izquierda, centro, derecha— y repártanlos entre los bloques: el gancho a la izquierda, el problema al centro, la solución a la derecha, el cierre otra vez al centro. Cada mirada dura tres o cuatro segundos, ni más ni menos. En el gancho especialmente: no lean, pregunten. Si es virtual, la mirada va a la cámara, nunca a la miniatura de su propia cara.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B45309"/>
          <w:sz w:val="23"/>
          <w:szCs w:val="23"/>
        </w:rPr>
        <w:t xml:space="preserve">2. Anclaje gestual con la regla de tres (0:25 – 0:45)</w:t>
      </w:r>
    </w:p>
    <w:p>
      <w:pPr>
        <w:spacing w:after="140" w:before="0" w:line="288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Cuando lleguen a los tres pilares —código que se ejecuta de verdad, tutor que pregunta, dominio con repetición espaciada— enumérenlos con los dedos, discretamente y a la altura del pecho. La audiencia recuerda la estructura por la mano antes que por el oído. Manos siempre por encima de la cintura y a la vista: nunca en los bolsillos, nunca cruzadas.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B45309"/>
          <w:sz w:val="23"/>
          <w:szCs w:val="23"/>
        </w:rPr>
        <w:t xml:space="preserve">3. Postura de cierre y pausa de poder (0:45 – 1:00)</w:t>
      </w:r>
    </w:p>
    <w:p>
      <w:pPr>
        <w:spacing w:after="140" w:before="0" w:line="288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Antes de «Our repository is public» hagan una micro-pausa de un segundo: cierren la boca, cuenten «uno» en silencio y sigan. Pecho arriba, pies separados al ancho de los hombros, sin balanceo. La última frase baja de tono — si termina hacia arriba suena a pregunta y se cae toda la seguridad que construyeron en los 59 segundos anteriores.</w:t>
      </w:r>
    </w:p>
    <w:p>
      <w:pPr>
        <w:pBdr>
          <w:left w:val="single" w:color="B45309" w:sz="12" w:space="8"/>
        </w:pBdr>
        <w:spacing w:after="140" w:before="60" w:line="288"/>
        <w:ind w:left="2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Y una regla que vale por las tres: si se traban, no repitan ni pidan perdón. Silencio, respiren, y retomen la frase completa desde el principio. El jurado casi nunca nota un tropiezo; siempre nota una disculpa.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B45309"/>
          <w:sz w:val="23"/>
          <w:szCs w:val="23"/>
        </w:rPr>
        <w:t xml:space="preserve">Ensayo, en cinco días</w:t>
      </w:r>
    </w:p>
    <w:tbl>
      <w:tblPr>
        <w:tblW w:type="dxa" w:w="10080"/>
        <w:tblBorders>
          <w:top w:val="single" w:color="D9D9D6" w:sz="4"/>
          <w:left w:val="single" w:color="D9D9D6" w:sz="4"/>
          <w:bottom w:val="single" w:color="D9D9D6" w:sz="4"/>
          <w:right w:val="single" w:color="D9D9D6" w:sz="4"/>
          <w:insideH w:val="single" w:color="D9D9D6" w:sz="4"/>
          <w:insideV w:val="single" w:color="D9D9D6" w:sz="4"/>
        </w:tblBorders>
      </w:tblPr>
      <w:tblGrid>
        <w:gridCol w:w="1400"/>
        <w:gridCol w:w="8680"/>
      </w:tblGrid>
      <w:tr>
        <w:trPr>
          <w:tblHeader/>
        </w:trPr>
        <w:tc>
          <w:tcPr>
            <w:tcW w:type="dxa" w:w="1400"/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8680"/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hace</w:t>
            </w:r>
          </w:p>
        </w:tc>
      </w:tr>
      <w:tr>
        <w:tc>
          <w:tcPr>
            <w:tcW w:type="dxa" w:w="14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D-5</w:t>
            </w:r>
          </w:p>
        </w:tc>
        <w:tc>
          <w:tcPr>
            <w:tcW w:type="dxa" w:w="8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Leerlo en voz alta cinco veces con la tabla fonética al lado. Marcar en el papel las seis palabras que más cuestan.</w:t>
            </w:r>
          </w:p>
        </w:tc>
      </w:tr>
      <w:tr>
        <w:tc>
          <w:tcPr>
            <w:tcW w:type="dxa" w:w="14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D-4</w:t>
            </w:r>
          </w:p>
        </w:tc>
        <w:tc>
          <w:tcPr>
            <w:tcW w:type="dxa" w:w="8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Grabarse en audio y escucharse. Cronometrar. Si pasa de 62 s, recortar — no acelerar.</w:t>
            </w:r>
          </w:p>
        </w:tc>
      </w:tr>
      <w:tr>
        <w:tc>
          <w:tcPr>
            <w:tcW w:type="dxa" w:w="14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D-3</w:t>
            </w:r>
          </w:p>
        </w:tc>
        <w:tc>
          <w:tcPr>
            <w:tcW w:type="dxa" w:w="8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Memorizar bloque por bloque. Primero solo el gancho, hasta decirlo sin mirar; después se encadena.</w:t>
            </w:r>
          </w:p>
        </w:tc>
      </w:tr>
      <w:tr>
        <w:tc>
          <w:tcPr>
            <w:tcW w:type="dxa" w:w="14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D-2</w:t>
            </w:r>
          </w:p>
        </w:tc>
        <w:tc>
          <w:tcPr>
            <w:tcW w:type="dxa" w:w="8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 pie, frente al espejo o a la cámara, aplicando las tres anclas de mirada.</w:t>
            </w:r>
          </w:p>
        </w:tc>
      </w:tr>
      <w:tr>
        <w:tc>
          <w:tcPr>
            <w:tcW w:type="dxa" w:w="14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D-1</w:t>
            </w:r>
          </w:p>
        </w:tc>
        <w:tc>
          <w:tcPr>
            <w:tcW w:type="dxa" w:w="8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Pasada completa ante los otros cuatro, con cronómetro a la vista. Dos veces, y ya no se toca el guión.</w:t>
            </w:r>
          </w:p>
        </w:tc>
      </w:tr>
      <w:tr>
        <w:tc>
          <w:tcPr>
            <w:tcW w:type="dxa" w:w="14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Día D</w:t>
            </w:r>
          </w:p>
        </w:tc>
        <w:tc>
          <w:tcPr>
            <w:tcW w:type="dxa" w:w="8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Una pasada mental y nada más. No repasar en los diez minutos previos: eso aumenta el bloqueo, no la fluidez.</w:t>
            </w:r>
          </w:p>
        </w:tc>
      </w:tr>
    </w:tbl>
    <w:p>
      <w:pPr>
        <w:pStyle w:val="Heading1"/>
        <w:pBdr>
          <w:bottom w:val="single" w:color="B45309" w:sz="8" w:space="5"/>
        </w:pBdr>
        <w:spacing w:after="180" w:before="400"/>
      </w:pPr>
      <w:r>
        <w:rPr>
          <w:rFonts w:ascii="Calibri" w:cs="Calibri" w:eastAsia="Calibri" w:hAnsi="Calibri"/>
          <w:b/>
          <w:bCs/>
          <w:color w:val="1F2937"/>
          <w:sz w:val="27"/>
          <w:szCs w:val="27"/>
        </w:rPr>
        <w:t xml:space="preserve">5 · Evidencia del prompt ROCAS (vale el 20 % de la nota)</w:t>
      </w:r>
    </w:p>
    <w:p>
      <w:pPr>
        <w:spacing w:after="140" w:before="0" w:line="288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La rúbrica no pide solo el prompt: pide el prompt y sus iteraciones. Estas son las dos que hicimos de verdad.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B45309"/>
          <w:sz w:val="23"/>
          <w:szCs w:val="23"/>
        </w:rPr>
        <w:t xml:space="preserve">Iteración 1 — el prompt base de la Guía de Clase 02</w:t>
      </w:r>
    </w:p>
    <w:p>
      <w:pPr>
        <w:spacing w:after="140" w:before="0" w:line="288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Herramienta: Claude. Salió un guión con la estructura correcta, pero el bloque de tecnología decía «NestJS, Redis, Docker y arquitectura event-driven». Dos de esos cuatro no existen todavía en STIRE. El prompt pedía un buen pitch; nunca pidió un pitch verdadero.</w:t>
      </w:r>
    </w:p>
    <w:p>
      <w:pPr>
        <w:shd w:fill="F1F0EC" w:color="auto" w:val="clear"/>
        <w:spacing w:after="0" w:before="6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[ROL] Actúa como un experto consultor de comunicación técnica en inglés y coach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de pitch de startups EdTech.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 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[OBJETIVO] Generar un guión de Elevator Pitch en inglés de exactamente 60 segundos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(aprox. 130-140 palabras) para presentar nuestro proyecto de software educativo,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junto con una guía de pronunciación fonética y consejos de oratoria.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 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[CONTEXTO] Somos estudiantes de Informática Educativa en la Universidad de Córdoba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(DDSE3). Nuestro proyecto 'STIRE' resuelve el problema: 'retroalimentación tardía y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no personalizada en Fundamentos de Algoritmia' aplicando el modelo MOCAVI.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 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[ACCIÓN] 1. Redactar el guión en inglés en 4 bloques: Hook (0-10s), Problem (10-25s),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Solution &amp; Value Prop (25-45s), Tech Stack &amp; CTA (45-60s).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2. Proporcionar guía fonética de términos difíciles y 3 pautas de lenguaje corporal.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 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[SALIDA] Documento Markdown con guión en código y tabla fonética.</w:t>
      </w:r>
    </w:p>
    <w:p>
      <w:pPr>
        <w:shd w:fill="F1F0EC" w:color="auto" w:val="clear"/>
        <w:spacing w:after="140" w:before="0" w:line="288"/>
        <w:ind w:left="180" w:right="180"/>
      </w:pPr>
      <w:r>
        <w:rPr>
          <w:rFonts w:ascii="Calibri" w:cs="Calibri" w:eastAsia="Calibri" w:hAnsi="Calibri"/>
          <w:color w:val="1F2937"/>
          <w:sz w:val="10"/>
          <w:szCs w:val="10"/>
        </w:rPr>
        <w:t xml:space="preserve"> 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B45309"/>
          <w:sz w:val="23"/>
          <w:szCs w:val="23"/>
        </w:rPr>
        <w:t xml:space="preserve">Iteración 2 — restricción de veracidad (la que produjo este documento)</w:t>
      </w:r>
    </w:p>
    <w:p>
      <w:pPr>
        <w:spacing w:after="140" w:before="0" w:line="288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Añadimos al prompt base una restricción de honestidad técnica y cambiamos el formato de salida.</w:t>
      </w:r>
    </w:p>
    <w:p>
      <w:pPr>
        <w:shd w:fill="F1F0EC" w:color="auto" w:val="clear"/>
        <w:spacing w:after="0" w:before="6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[AJUSTE SOBRE EL PROMPT BASE]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 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Restricción de veracidad: STIRE tiene componentes (Redis, Docker, cola de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procesamiento) que AÚN NO están implementados. No los menciones como si existieran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y no exageres para impresionar. Habla con sinceridad de lo que el sistema hace hoy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y de nuestra arquitectura real; si algo está diseñado pero no construido, dilo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dentro del propio guión.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 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Cambio de salida: entrega el texto en inglés Y en español, en Word o PDF, y explica</w:t>
      </w:r>
    </w:p>
    <w:p>
      <w:pPr>
        <w:shd w:fill="F1F0EC" w:color="auto" w:val="clear"/>
        <w:spacing w:after="0" w:before="0" w:line="276"/>
        <w:ind w:left="180" w:right="180"/>
      </w:pPr>
      <w:r>
        <w:rPr>
          <w:rFonts w:ascii="Consolas" w:cs="Consolas" w:eastAsia="Consolas" w:hAnsi="Consolas"/>
          <w:b w:val="false"/>
          <w:bCs w:val="false"/>
          <w:color w:val="1F2937"/>
          <w:sz w:val="18"/>
          <w:szCs w:val="18"/>
        </w:rPr>
        <w:t xml:space="preserve">la intención de cada bloque, no solo el texto.</w:t>
      </w:r>
    </w:p>
    <w:p>
      <w:pPr>
        <w:shd w:fill="F1F0EC" w:color="auto" w:val="clear"/>
        <w:spacing w:after="140" w:before="0" w:line="288"/>
        <w:ind w:left="180" w:right="180"/>
      </w:pPr>
      <w:r>
        <w:rPr>
          <w:rFonts w:ascii="Calibri" w:cs="Calibri" w:eastAsia="Calibri" w:hAnsi="Calibri"/>
          <w:color w:val="1F2937"/>
          <w:sz w:val="10"/>
          <w:szCs w:val="10"/>
        </w:rPr>
        <w:t xml:space="preserve"> 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B45309"/>
          <w:sz w:val="23"/>
          <w:szCs w:val="23"/>
        </w:rPr>
        <w:t xml:space="preserve">Qué cambió entre una y otra</w:t>
      </w:r>
    </w:p>
    <w:tbl>
      <w:tblPr>
        <w:tblW w:type="dxa" w:w="10080"/>
        <w:tblBorders>
          <w:top w:val="single" w:color="D9D9D6" w:sz="4"/>
          <w:left w:val="single" w:color="D9D9D6" w:sz="4"/>
          <w:bottom w:val="single" w:color="D9D9D6" w:sz="4"/>
          <w:right w:val="single" w:color="D9D9D6" w:sz="4"/>
          <w:insideH w:val="single" w:color="D9D9D6" w:sz="4"/>
          <w:insideV w:val="single" w:color="D9D9D6" w:sz="4"/>
        </w:tblBorders>
      </w:tblPr>
      <w:tblGrid>
        <w:gridCol w:w="3200"/>
        <w:gridCol w:w="3440"/>
        <w:gridCol w:w="3440"/>
      </w:tblGrid>
      <w:tr>
        <w:trPr>
          <w:tblHeader/>
        </w:trPr>
        <w:tc>
          <w:tcPr>
            <w:tcW w:type="dxa" w:w="3200"/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440"/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Iteración 1</w:t>
            </w:r>
          </w:p>
        </w:tc>
        <w:tc>
          <w:tcPr>
            <w:tcW w:type="dxa" w:w="3440"/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Iteración 2 (final)</w:t>
            </w:r>
          </w:p>
        </w:tc>
      </w:tr>
      <w:tr>
        <w:tc>
          <w:tcPr>
            <w:tcW w:type="dxa" w:w="32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Bloque Tech Stack</w:t>
            </w:r>
          </w:p>
        </w:tc>
        <w:tc>
          <w:tcPr>
            <w:tcW w:type="dxa" w:w="34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«NestJS, Redis, Docker, event-driven architecture». Dos de cuatro no existen.</w:t>
            </w:r>
          </w:p>
        </w:tc>
        <w:tc>
          <w:tcPr>
            <w:tcW w:type="dxa" w:w="34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«NestJS y PostgreSQL, con puertos y adaptadores». Todo verificable en el repositorio.</w:t>
            </w:r>
          </w:p>
        </w:tc>
      </w:tr>
      <w:tr>
        <w:tc>
          <w:tcPr>
            <w:tcW w:type="dxa" w:w="32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Lo que falta</w:t>
            </w:r>
          </w:p>
        </w:tc>
        <w:tc>
          <w:tcPr>
            <w:tcW w:type="dxa" w:w="34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Omitido.</w:t>
            </w:r>
          </w:p>
        </w:tc>
        <w:tc>
          <w:tcPr>
            <w:tcW w:type="dxa" w:w="34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Declarado en voz alta: «the job queue is designed, not built».</w:t>
            </w:r>
          </w:p>
        </w:tc>
      </w:tr>
      <w:tr>
        <w:tc>
          <w:tcPr>
            <w:tcW w:type="dxa" w:w="32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Cierre (CTA)</w:t>
            </w:r>
          </w:p>
        </w:tc>
        <w:tc>
          <w:tcPr>
            <w:tcW w:type="dxa" w:w="34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Invitación genérica a colaborar.</w:t>
            </w:r>
          </w:p>
        </w:tc>
        <w:tc>
          <w:tcPr>
            <w:tcW w:type="dxa" w:w="34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«Our repository is public: come and break it», respaldado por la auditoría adversarial.</w:t>
            </w:r>
          </w:p>
        </w:tc>
      </w:tr>
      <w:tr>
        <w:tc>
          <w:tcPr>
            <w:tcW w:type="dxa" w:w="32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Salida</w:t>
            </w:r>
          </w:p>
        </w:tc>
        <w:tc>
          <w:tcPr>
            <w:tcW w:type="dxa" w:w="34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Markdown, solo en inglés.</w:t>
            </w:r>
          </w:p>
        </w:tc>
        <w:tc>
          <w:tcPr>
            <w:tcW w:type="dxa" w:w="34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Word y PDF, bilingüe, con la estrategia de cada bloque.</w:t>
            </w:r>
          </w:p>
        </w:tc>
      </w:tr>
    </w:tbl>
    <w:p>
      <w:pPr>
        <w:pBdr>
          <w:left w:val="single" w:color="B45309" w:sz="12" w:space="8"/>
        </w:pBdr>
        <w:spacing w:after="140" w:before="60" w:line="288"/>
        <w:ind w:left="2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La lección de ingeniería de prompts, que es justo lo que evalúa este 20 %: un modelo que optimiza por impresionar rellena los huecos con tecnología plausible. La restricción de veracidad no empeoró el guión — le dio el único argumento que ningún otro equipo puede copiar.</w:t>
      </w:r>
    </w:p>
    <w:p>
      <w:pPr>
        <w:pStyle w:val="Heading1"/>
        <w:pBdr>
          <w:bottom w:val="single" w:color="B45309" w:sz="8" w:space="5"/>
        </w:pBdr>
        <w:spacing w:after="180" w:before="400"/>
      </w:pPr>
      <w:r>
        <w:rPr>
          <w:rFonts w:ascii="Calibri" w:cs="Calibri" w:eastAsia="Calibri" w:hAnsi="Calibri"/>
          <w:b/>
          <w:bCs/>
          <w:color w:val="1F2937"/>
          <w:sz w:val="27"/>
          <w:szCs w:val="27"/>
        </w:rPr>
        <w:t xml:space="preserve">6 · Qué es real y qué no (para la ronda de preguntas)</w:t>
      </w:r>
    </w:p>
    <w:p>
      <w:pPr>
        <w:spacing w:after="140" w:before="0" w:line="288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Si el jurado pregunta, la respuesta está aquí. Nada fuera de esta tabla se afirma en voz alta.</w:t>
      </w:r>
    </w:p>
    <w:tbl>
      <w:tblPr>
        <w:tblW w:type="dxa" w:w="10080"/>
        <w:tblBorders>
          <w:top w:val="single" w:color="D9D9D6" w:sz="4"/>
          <w:left w:val="single" w:color="D9D9D6" w:sz="4"/>
          <w:bottom w:val="single" w:color="D9D9D6" w:sz="4"/>
          <w:right w:val="single" w:color="D9D9D6" w:sz="4"/>
          <w:insideH w:val="single" w:color="D9D9D6" w:sz="4"/>
          <w:insideV w:val="single" w:color="D9D9D6" w:sz="4"/>
        </w:tblBorders>
      </w:tblPr>
      <w:tblGrid>
        <w:gridCol w:w="3300"/>
        <w:gridCol w:w="1600"/>
        <w:gridCol w:w="5180"/>
      </w:tblGrid>
      <w:tr>
        <w:trPr>
          <w:tblHeader/>
        </w:trPr>
        <w:tc>
          <w:tcPr>
            <w:tcW w:type="dxa" w:w="3300"/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600"/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5180"/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puede afirmar</w:t>
            </w:r>
          </w:p>
        </w:tc>
      </w:tr>
      <w:tr>
        <w:tc>
          <w:tcPr>
            <w:tcW w:type="dxa" w:w="33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Ejecución de código y calificación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Funciona</w:t>
            </w:r>
          </w:p>
        </w:tc>
        <w:tc>
          <w:tcPr>
            <w:tcW w:type="dxa" w:w="51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Verificado de extremo a extremo contra la base de datos real: entrega correcta → 100, incorrecta → 0, con el resultado de ejecución persistido.</w:t>
            </w:r>
          </w:p>
        </w:tc>
      </w:tr>
      <w:tr>
        <w:tc>
          <w:tcPr>
            <w:tcW w:type="dxa" w:w="33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Sandbox aislado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Funciona</w:t>
            </w:r>
          </w:p>
        </w:tc>
        <w:tc>
          <w:tcPr>
            <w:tcW w:type="dxa" w:w="51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Proceso hijo endurecido, sin Docker. Sistema de archivos, procesos y red denegados; límite de memoria y watchdog. Diez vectores de ataque bloqueados y documentados.</w:t>
            </w:r>
          </w:p>
        </w:tc>
      </w:tr>
      <w:tr>
        <w:tc>
          <w:tcPr>
            <w:tcW w:type="dxa" w:w="33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API NestJS + PostgreSQL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Funciona</w:t>
            </w:r>
          </w:p>
        </w:tc>
        <w:tc>
          <w:tcPr>
            <w:tcW w:type="dxa" w:w="51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Arranca y responde sin Docker ni Redis. 33 suites y 183 pruebas automatizadas.</w:t>
            </w:r>
          </w:p>
        </w:tc>
      </w:tr>
      <w:tr>
        <w:tc>
          <w:tcPr>
            <w:tcW w:type="dxa" w:w="33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Tutor IA socrático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Parcial</w:t>
            </w:r>
          </w:p>
        </w:tc>
        <w:tc>
          <w:tcPr>
            <w:tcW w:type="dxa" w:w="51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Módulo y contrato definidos; falta integrar la bitácora de actividad del estudiante. «Our tutor replies with questions» es correcto; no prometer personalización total.</w:t>
            </w:r>
          </w:p>
        </w:tc>
      </w:tr>
      <w:tr>
        <w:tc>
          <w:tcPr>
            <w:tcW w:type="dxa" w:w="33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Dominio + SM-2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Parcial</w:t>
            </w:r>
          </w:p>
        </w:tc>
        <w:tc>
          <w:tcPr>
            <w:tcW w:type="dxa" w:w="51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Modelo de datos y umbrales definidos (70 % desbloquea, 85 % es dominio). El factor de facilidad de SM-2 todavía no se persiste.</w:t>
            </w:r>
          </w:p>
        </w:tc>
      </w:tr>
      <w:tr>
        <w:tc>
          <w:tcPr>
            <w:tcW w:type="dxa" w:w="33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Cola de trabajos (Redis)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Diseñado</w:t>
            </w:r>
          </w:p>
        </w:tc>
        <w:tc>
          <w:tcPr>
            <w:tcW w:type="dxa" w:w="51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Existe el puerto y un adaptador en línea que ejecuta sin cola. El adaptador con Redis está previsto, no probado. Esto es exactamente lo que el guión declara.</w:t>
            </w:r>
          </w:p>
        </w:tc>
      </w:tr>
      <w:tr>
        <w:tc>
          <w:tcPr>
            <w:tcW w:type="dxa" w:w="3300"/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Contenedores (Docker)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Diseñado</w:t>
            </w:r>
          </w:p>
        </w:tc>
        <w:tc>
          <w:tcPr>
            <w:tcW w:type="dxa" w:w="51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Decisión deliberada: eliminamos el adaptador Docker antes que dejar un simulacro que aparentara funcionar.</w:t>
            </w:r>
          </w:p>
        </w:tc>
      </w:tr>
    </w:tbl>
    <w:p>
      <w:pPr>
        <w:pBdr>
          <w:left w:val="single" w:color="B45309" w:sz="12" w:space="8"/>
        </w:pBdr>
        <w:spacing w:after="140" w:before="60" w:line="288"/>
        <w:ind w:left="2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Y si preguntan «¿por qué presentan un sistema incompleto?»: porque lo medimos. Auditoría adversarial contra nuestro propio código, de 3,05 a 5,1 sobre 10 con la misma vara, y una segunda auditoría independiente que encontró cuatro fallos que la primera no vio. Un equipo que no audita su sistema no sabe qué parte de él es real.</w:t>
      </w:r>
    </w:p>
    <w:p>
      <w:pPr>
        <w:spacing w:after="140" w:before="400" w:line="288"/>
        <w:jc w:val="center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STIRE-Soft · DDSE3 2026-2 · Universidad de Córdoba · 25 de agosto de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STIRE — Elevator Pitch 60s (EN/ES)</dc:title>
  <dc:creator>Equipo STIRE — DDSE3 2026-2</dc:creator>
  <dc:description>Guión, traducción con guía estratégica, fonética, oratoria y evidencia ROCAS.</dc:description>
  <cp:lastModifiedBy>Un-named</cp:lastModifiedBy>
  <cp:revision>1</cp:revision>
  <dcterms:created xsi:type="dcterms:W3CDTF">2026-08-26T04:26:37.365Z</dcterms:created>
  <dcterms:modified xsi:type="dcterms:W3CDTF">2026-08-26T04:26:37.377Z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