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E3A8A"/>
          <w:sz w:val="48"/>
        </w:rPr>
        <w:t>SolNaciente Table Tennis</w:t>
      </w:r>
    </w:p>
    <w:p>
      <w:pPr>
        <w:spacing w:after="280"/>
        <w:jc w:val="center"/>
      </w:pPr>
      <w:r>
        <w:rPr>
          <w:color w:val="475569"/>
          <w:sz w:val="23"/>
        </w:rPr>
        <w:t>Informe Técnico de Investigación: Pasarela de Pago en Sandbox y Despliegue en la Nube</w:t>
        <w:br/>
        <w:t>Solemne 02 — Desarrollo de Aplicaciones Web | Evidencia Hito 1 (Pago y Despliegue - 20 pts)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1F5F9"/>
          </w:tcPr>
          <w:p>
            <w:pPr>
              <w:spacing w:after="40" w:before="40"/>
            </w:pPr>
            <w:r>
              <w:rPr>
                <w:b/>
              </w:rPr>
              <w:t xml:space="preserve">Actividad: </w:t>
            </w:r>
            <w:r>
              <w:t>SCRUM-16 (Investigación)</w:t>
            </w:r>
          </w:p>
        </w:tc>
        <w:tc>
          <w:tcPr>
            <w:tcW w:type="dxa" w:w="4680"/>
            <w:shd w:fill="F1F5F9"/>
          </w:tcPr>
          <w:p>
            <w:pPr>
              <w:spacing w:after="40" w:before="40"/>
            </w:pPr>
            <w:r>
              <w:rPr>
                <w:b/>
              </w:rPr>
              <w:t xml:space="preserve">Plataforma E-Commerce: </w:t>
            </w:r>
            <w:r>
              <w:t>SolNaciente (Tenis de Mesa)</w:t>
            </w:r>
          </w:p>
        </w:tc>
      </w:tr>
      <w:tr>
        <w:trPr>
          <w:cantSplit/>
        </w:trPr>
        <w:tc>
          <w:tcPr>
            <w:tcW w:type="dxa" w:w="4680"/>
            <w:shd w:fill="F1F5F9"/>
          </w:tcPr>
          <w:p>
            <w:pPr>
              <w:spacing w:after="40" w:before="40"/>
            </w:pPr>
            <w:r>
              <w:rPr>
                <w:b/>
              </w:rPr>
              <w:t xml:space="preserve">Pasarela Elegida: </w:t>
            </w:r>
            <w:r>
              <w:t>Transbank Webpay Plus (Integración)</w:t>
            </w:r>
          </w:p>
        </w:tc>
        <w:tc>
          <w:tcPr>
            <w:tcW w:type="dxa" w:w="4680"/>
            <w:shd w:fill="F1F5F9"/>
          </w:tcPr>
          <w:p>
            <w:pPr>
              <w:spacing w:after="40" w:before="40"/>
            </w:pPr>
            <w:r>
              <w:rPr>
                <w:b/>
              </w:rPr>
              <w:t xml:space="preserve">Infraestructura Cloud: </w:t>
            </w:r>
            <w:r>
              <w:t>Vercel + Render + Neon + Atlas</w:t>
            </w:r>
          </w:p>
        </w:tc>
      </w:tr>
    </w:tbl>
    <w:p>
      <w:pPr>
        <w:keepNext/>
        <w:spacing w:before="320" w:after="80"/>
      </w:pPr>
      <w:r>
        <w:rPr>
          <w:b/>
          <w:color w:val="1E3A8A"/>
          <w:sz w:val="32"/>
        </w:rPr>
        <w:t>1. Introducción y Requisitos del Enunciado</w:t>
      </w:r>
    </w:p>
    <w:p>
      <w:pPr>
        <w:spacing w:after="120" w:line="276" w:lineRule="auto"/>
      </w:pPr>
      <w:r>
        <w:rPr>
          <w:sz w:val="22"/>
        </w:rPr>
        <w:t>El presente informe documenta el análisis comparativo, las pruebas de viabilidad y las decisiones de ingeniería adoptadas para dar cumplimiento a los requisitos de pago en ambiente de pruebas y despliegue distribuido de la Solemne 02: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Requisito de Pasarela (RF-31 y RF-32): </w:t>
      </w:r>
      <w:r>
        <w:rPr>
          <w:sz w:val="22"/>
        </w:rPr>
        <w:t>La plataforma debe operar con una pasarela de pago en ambiente sandbox sin cobros reales, operando en moneda nacional (CLP). El backend debe verificar de forma estricta la autenticidad, importe y estado de la transacción antes de confirmar cualquier compra, prohibiendo explícitamente confiar en los datos de retorno del navegador.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Requisito de Despliegue Distribuido (Pág. 12-13): </w:t>
      </w:r>
      <w:r>
        <w:rPr>
          <w:sz w:val="22"/>
        </w:rPr>
        <w:t>Se permite el despliegue en plataformas compatibles gratuitas. El equipo debe comprobar cuotas, suspensión por inactividad, HTTPS, persistencia de datos, políticas de CORS, manejo seguro de secretos y conciliación de servicios, garantizando una arquitectura de microservicios real y desacoplada.</w:t>
      </w:r>
    </w:p>
    <w:p>
      <w:pPr>
        <w:keepNext/>
        <w:spacing w:before="320" w:after="80"/>
      </w:pPr>
      <w:r>
        <w:rPr>
          <w:b/>
          <w:color w:val="1E3A8A"/>
          <w:sz w:val="32"/>
        </w:rPr>
        <w:t>2. Análisis Comparativo y Selección de Pasarela Sandbox</w:t>
      </w:r>
    </w:p>
    <w:p>
      <w:pPr>
        <w:spacing w:after="120" w:line="276" w:lineRule="auto"/>
      </w:pPr>
      <w:r>
        <w:rPr>
          <w:sz w:val="22"/>
        </w:rPr>
        <w:t>Se evaluaron las tres principales alternativas de pasarelas con soporte de pruebas para comercio electrónico en Chile: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592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t>Criterio de Evaluación</w:t>
            </w:r>
          </w:p>
        </w:tc>
        <w:tc>
          <w:tcPr>
            <w:tcW w:type="dxa" w:w="2304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t>Transbank Webpay Plus</w:t>
            </w:r>
          </w:p>
        </w:tc>
        <w:tc>
          <w:tcPr>
            <w:tcW w:type="dxa" w:w="2304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t>Mercado Pago Sandbox</w:t>
            </w:r>
          </w:p>
        </w:tc>
        <w:tc>
          <w:tcPr>
            <w:tcW w:type="dxa" w:w="2160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t>Stripe Test Mode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Moneda Nativa</w:t>
            </w:r>
          </w:p>
        </w:tc>
        <w:tc>
          <w:tcPr>
            <w:tcW w:type="dxa" w:w="230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Pesos Chilenos (CLP) nativo y obligatorio.</w:t>
            </w:r>
          </w:p>
        </w:tc>
        <w:tc>
          <w:tcPr>
            <w:tcW w:type="dxa" w:w="230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Pesos Chilenos (CLP) nativo.</w:t>
            </w:r>
          </w:p>
        </w:tc>
        <w:tc>
          <w:tcPr>
            <w:tcW w:type="dxa" w:w="216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Enfocado en USD/EUR. Soporte CLP indirecto.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Acceso y Registro</w:t>
            </w:r>
          </w:p>
        </w:tc>
        <w:tc>
          <w:tcPr>
            <w:tcW w:type="dxa" w:w="230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Inmediato. Comercio y API Key públicos oficiales.</w:t>
            </w:r>
          </w:p>
        </w:tc>
        <w:tc>
          <w:tcPr>
            <w:tcW w:type="dxa" w:w="230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Requiere registro de cuenta de desarrollador.</w:t>
            </w:r>
          </w:p>
        </w:tc>
        <w:tc>
          <w:tcPr>
            <w:tcW w:type="dxa" w:w="2160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Requiere registro y activación con tarjeta.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Librería Python</w:t>
            </w:r>
          </w:p>
        </w:tc>
        <w:tc>
          <w:tcPr>
            <w:tcW w:type="dxa" w:w="230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transbank-sdk-python oficial.</w:t>
            </w:r>
          </w:p>
        </w:tc>
        <w:tc>
          <w:tcPr>
            <w:tcW w:type="dxa" w:w="230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mercadopago SDK oficial.</w:t>
            </w:r>
          </w:p>
        </w:tc>
        <w:tc>
          <w:tcPr>
            <w:tcW w:type="dxa" w:w="216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stripe-python oficial.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Tarjetas de Prueba</w:t>
            </w:r>
          </w:p>
        </w:tc>
        <w:tc>
          <w:tcPr>
            <w:tcW w:type="dxa" w:w="230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Tarjetas predefinidas con claves fijas para éxito, rechazo y fondos insuficientes.</w:t>
            </w:r>
          </w:p>
        </w:tc>
        <w:tc>
          <w:tcPr>
            <w:tcW w:type="dxa" w:w="230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Tarjetas dinámicas generadas en dashboard.</w:t>
            </w:r>
          </w:p>
        </w:tc>
        <w:tc>
          <w:tcPr>
            <w:tcW w:type="dxa" w:w="2160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Tarjetas de prueba internacionales.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Validación Backend (RF-32)</w:t>
            </w:r>
          </w:p>
        </w:tc>
        <w:tc>
          <w:tcPr>
            <w:tcW w:type="dxa" w:w="230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Retorno vía token_ws. Validación obligatoria en servidor con commit(). Cumple CC-06.</w:t>
            </w:r>
          </w:p>
        </w:tc>
        <w:tc>
          <w:tcPr>
            <w:tcW w:type="dxa" w:w="2304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Retorno con payment_id + Webhooks IPN asíncronos.</w:t>
            </w:r>
          </w:p>
        </w:tc>
        <w:tc>
          <w:tcPr>
            <w:tcW w:type="dxa" w:w="216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Webhooks asíncronos con firma criptográfica.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Prevención de Fraude</w:t>
            </w:r>
          </w:p>
        </w:tc>
        <w:tc>
          <w:tcPr>
            <w:tcW w:type="dxa" w:w="230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El navegador nunca maneja datos de tarjeta (formulario alojado por Transbank).</w:t>
            </w:r>
          </w:p>
        </w:tc>
        <w:tc>
          <w:tcPr>
            <w:tcW w:type="dxa" w:w="230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Mecanismo checkout pro o campos seguros.</w:t>
            </w:r>
          </w:p>
        </w:tc>
        <w:tc>
          <w:tcPr>
            <w:tcW w:type="dxa" w:w="2160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Elementos iframe seguros (Stripe Elements).</w:t>
            </w:r>
          </w:p>
        </w:tc>
      </w:tr>
    </w:tbl>
    <w:p>
      <w:pPr>
        <w:keepNext/>
        <w:spacing w:before="240" w:after="60"/>
      </w:pPr>
      <w:r>
        <w:rPr>
          <w:b/>
          <w:color w:val="DC2626"/>
          <w:sz w:val="26"/>
        </w:rPr>
        <w:t>2.1 Decisión Técnica Justificada: Transbank Webpay Plus (Integración)</w:t>
      </w:r>
    </w:p>
    <w:p>
      <w:pPr>
        <w:spacing w:after="120" w:line="276" w:lineRule="auto"/>
      </w:pPr>
      <w:r>
        <w:rPr>
          <w:sz w:val="22"/>
        </w:rPr>
        <w:t>Se selecciona de forma unánime Transbank Webpay Plus en ambiente de Integración por las siguientes razones de arquitectura: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1. Estándar Bancario Nacional: </w:t>
      </w:r>
      <w:r>
        <w:rPr>
          <w:sz w:val="22"/>
        </w:rPr>
        <w:t>Webpay Plus es la pasarela dominante del mercado chileno, operando exclusivamente con transacciones en Pesos Chilenos (CLP) sin necesidad de redondeos cambiarios.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2. Credenciales Públicas y Reproducibles: </w:t>
      </w:r>
      <w:r>
        <w:rPr>
          <w:sz w:val="22"/>
        </w:rPr>
        <w:t>Transbank proporciona credenciales de integración universales y abiertas. Esto asegura que cualquier docente o evaluador pueda clonar el repositorio y ejecutar pruebas de compra completas sin depender de cuentas personales del equipo.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3. Aislamiento de Datos Sensibles (CC-02 / RF-31): </w:t>
      </w:r>
      <w:r>
        <w:rPr>
          <w:sz w:val="22"/>
        </w:rPr>
        <w:t>El cliente es redirigido directamente al portal seguro de Transbank. La tienda SolNaciente jamás captura, almacena ni procesa números de tarjeta ni claves bancarias, cumpliendo los más altos estándares de seguridad y RNF-12.</w:t>
      </w:r>
    </w:p>
    <w:p>
      <w:pPr>
        <w:keepNext/>
        <w:spacing w:before="240" w:after="60"/>
      </w:pPr>
      <w:r>
        <w:rPr>
          <w:b/>
          <w:color w:val="DC2626"/>
          <w:sz w:val="26"/>
        </w:rPr>
        <w:t>2.2 Parámetros Técnicos Oficiales para el Entorno de Pruebas</w:t>
      </w:r>
    </w:p>
    <w:p>
      <w:pPr>
        <w:spacing w:after="120" w:line="276" w:lineRule="auto"/>
      </w:pPr>
      <w:r>
        <w:rPr>
          <w:sz w:val="22"/>
        </w:rPr>
        <w:t>Para la implementación en el Servicio de Comercio, se utilizarán las credenciales oficiales de Transbank Developers: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Código de Comercio (Commerce Code): </w:t>
      </w:r>
      <w:r>
        <w:rPr>
          <w:sz w:val="22"/>
        </w:rPr>
        <w:t>597055555532 (Código universal para Webpay Plus Mall/Normal Integración).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API Key Secreta de Integración: </w:t>
      </w:r>
      <w:r>
        <w:rPr>
          <w:sz w:val="22"/>
        </w:rPr>
        <w:t>579B532A7440BBAB6207877F08B937C4E31506AEB0187280208A2EEE7F60146F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URL Base del API REST: </w:t>
      </w:r>
      <w:r>
        <w:rPr>
          <w:sz w:val="22"/>
        </w:rPr>
        <w:t>https://webpay3gint.transbank.cl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Tarjeta de Prueba Aprobada: </w:t>
      </w:r>
      <w:r>
        <w:rPr>
          <w:sz w:val="22"/>
        </w:rPr>
        <w:t>Tarjeta Visa Crédito 6623 0000 0000 0000 | Vencimiento: Cualquier fecha futura | Clave: 1234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Tarjeta de Prueba Rechazada: </w:t>
      </w:r>
      <w:r>
        <w:rPr>
          <w:sz w:val="22"/>
        </w:rPr>
        <w:t>Tarjeta Débito 5970 0000 0000 0000 | Código de rechazo: -1</w:t>
      </w:r>
    </w:p>
    <w:p>
      <w:pPr>
        <w:keepNext/>
        <w:spacing w:before="320" w:after="80"/>
      </w:pPr>
      <w:r>
        <w:rPr>
          <w:b/>
          <w:color w:val="1E3A8A"/>
          <w:sz w:val="32"/>
        </w:rPr>
        <w:t>3. Flujo Transaccional e Integración con Microservicios</w:t>
      </w:r>
    </w:p>
    <w:p>
      <w:pPr>
        <w:spacing w:after="120" w:line="276" w:lineRule="auto"/>
      </w:pPr>
      <w:r>
        <w:rPr>
          <w:sz w:val="22"/>
        </w:rPr>
        <w:t>El proceso de pago sigue estrictamente la máquina de estados y las reglas de idempotencia requeridas en la sección 5 del enunciado: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Paso 1 (Reserva Atómica): </w:t>
      </w:r>
      <w:r>
        <w:rPr>
          <w:sz w:val="22"/>
        </w:rPr>
        <w:t>El cliente inicia el checkout. El Servicio de Comercio crea la orden en estado PENDIENTE_PAGO y solicita al Servicio de Catálogo la reserva indivisible de existencias en MongoDB por 15 minutos (RF-29).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Paso 2 (Creación de Transacción en Transbank): </w:t>
      </w:r>
      <w:r>
        <w:rPr>
          <w:sz w:val="22"/>
        </w:rPr>
        <w:t>El Servicio de Comercio invoca el endpoint /rswebpaytransaction/api/webpay/v1.0/transactions con buy_order, session_id, amount y return_url. Recibe un token_ws y la URL de redirección.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Paso 3 (Pago en Pasarela): </w:t>
      </w:r>
      <w:r>
        <w:rPr>
          <w:sz w:val="22"/>
        </w:rPr>
        <w:t>El cliente realiza el pago ficticio en la pasarela de Transbank utilizando las tarjetas de prueba.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Paso 4 (Verificación Estricta en Backend - RF-32): </w:t>
      </w:r>
      <w:r>
        <w:rPr>
          <w:sz w:val="22"/>
        </w:rPr>
        <w:t>Transbank redirige al cliente a la return_url con el parámetro token_ws. El backend en Django ejecuta la llamada commit(token_ws) directamente a la API de Transbank. Si el estado es 'AUTHORIZED', el monto coincide exactamente y no ha sido procesado previamente, se procede a consolidar el inventario.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Paso 5 (Consolidación e Idempotencia - RF-33 y RF-34): </w:t>
      </w:r>
      <w:r>
        <w:rPr>
          <w:sz w:val="22"/>
        </w:rPr>
        <w:t>Se descuenta el stock físico y reservado en MongoDB. La orden pasa a estado CONFIRMADA. Eventos repetidos o reenvíos de la URL no vuelven a descontar existencias ni a duplicar órdenes (RNF-09).</w:t>
      </w:r>
    </w:p>
    <w:p>
      <w:pPr>
        <w:keepNext/>
        <w:spacing w:before="320" w:after="80"/>
      </w:pPr>
      <w:r>
        <w:rPr>
          <w:b/>
          <w:color w:val="1E3A8A"/>
          <w:sz w:val="32"/>
        </w:rPr>
        <w:t>4. Análisis de Plataformas de Despliegue en la Nube (Gratuidad y Cuotas)</w:t>
      </w:r>
    </w:p>
    <w:p>
      <w:pPr>
        <w:spacing w:after="120" w:line="276" w:lineRule="auto"/>
      </w:pPr>
      <w:r>
        <w:rPr>
          <w:sz w:val="22"/>
        </w:rPr>
        <w:t>Conforme a la instrucción del enunciado de 'no prometer gratuidad sin comprobarla', se evaluó y verificó la viabilidad de la siguiente infraestructura distribuida: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1728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t>Plataforma Seleccionada</w:t>
            </w:r>
          </w:p>
        </w:tc>
        <w:tc>
          <w:tcPr>
            <w:tcW w:type="dxa" w:w="2160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t>Nivel de Servicio / Cuota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t>Restricción Comprobada</w:t>
            </w:r>
          </w:p>
        </w:tc>
        <w:tc>
          <w:tcPr>
            <w:tcW w:type="dxa" w:w="1728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t>Estrategia de Mitigación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Frontend React</w:t>
            </w:r>
          </w:p>
        </w:tc>
        <w:tc>
          <w:tcPr>
            <w:tcW w:type="dxa" w:w="1728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Vercel</w:t>
            </w:r>
          </w:p>
        </w:tc>
        <w:tc>
          <w:tcPr>
            <w:tcW w:type="dxa" w:w="216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Hobby (Gratuito ilimitado)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Límite de 100 GB ancho de banda mensual.</w:t>
            </w:r>
          </w:p>
        </w:tc>
        <w:tc>
          <w:tcPr>
            <w:tcW w:type="dxa" w:w="1728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Imágenes optimizadas y assets locales cacheados.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Microservicios Django</w:t>
            </w:r>
          </w:p>
        </w:tc>
        <w:tc>
          <w:tcPr>
            <w:tcW w:type="dxa" w:w="1728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Render</w:t>
            </w:r>
          </w:p>
        </w:tc>
        <w:tc>
          <w:tcPr>
            <w:tcW w:type="dxa" w:w="2160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Free Web Service (750 hrs/mes)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Suspensión automática tras 15 minutos de inactividad.</w:t>
            </w:r>
          </w:p>
        </w:tc>
        <w:tc>
          <w:tcPr>
            <w:tcW w:type="dxa" w:w="1728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Documentar latencia de arranque en frío (~45 seg) en la defensa.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</w:rPr>
              <w:t>Base de Datos Relacional</w:t>
            </w:r>
          </w:p>
        </w:tc>
        <w:tc>
          <w:tcPr>
            <w:tcW w:type="dxa" w:w="1728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Neon.tech</w:t>
            </w:r>
          </w:p>
        </w:tc>
        <w:tc>
          <w:tcPr>
            <w:tcW w:type="dxa" w:w="2160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Serverless PostgreSQL (0.5 GB gratis)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Límite de conexiones simultáneas.</w:t>
            </w:r>
          </w:p>
        </w:tc>
        <w:tc>
          <w:tcPr>
            <w:tcW w:type="dxa" w:w="1728"/>
            <w:vAlign w:val="center"/>
          </w:tcPr>
          <w:p>
            <w:pPr>
              <w:spacing w:before="60" w:after="60"/>
            </w:pPr>
            <w:r>
              <w:rPr>
                <w:sz w:val="19"/>
              </w:rPr>
              <w:t>Connection pooling integrado y cierre de conexiones inactivas.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9"/>
              </w:rPr>
              <w:t>Base de Datos NoSQL</w:t>
            </w:r>
          </w:p>
        </w:tc>
        <w:tc>
          <w:tcPr>
            <w:tcW w:type="dxa" w:w="1728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MongoDB Atlas</w:t>
            </w:r>
          </w:p>
        </w:tc>
        <w:tc>
          <w:tcPr>
            <w:tcW w:type="dxa" w:w="2160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Cluster M0 Sandbox (512 MB gratis)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Conexiones concurrentes limitadas a 500.</w:t>
            </w:r>
          </w:p>
        </w:tc>
        <w:tc>
          <w:tcPr>
            <w:tcW w:type="dxa" w:w="1728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9"/>
              </w:rPr>
              <w:t>Opera como Replica Set nativo, habilitando transacciones ACID.</w:t>
            </w:r>
          </w:p>
        </w:tc>
      </w:tr>
    </w:tbl>
    <w:p>
      <w:pPr>
        <w:keepNext/>
        <w:spacing w:before="240" w:after="60"/>
      </w:pPr>
      <w:r>
        <w:rPr>
          <w:b/>
          <w:color w:val="DC2626"/>
          <w:sz w:val="26"/>
        </w:rPr>
        <w:t>4.1 Verificación de Persistencia y Políticas de Seguridad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Soporte HTTPS Nativo (RNF-12): </w:t>
      </w:r>
      <w:r>
        <w:rPr>
          <w:sz w:val="22"/>
        </w:rPr>
        <w:t>Tanto Vercel como Render proporcionan certificados SSL/TLS automáticos, garantizando que todo el tráfico entre cliente, microservicios y bases de datos viaje cifrado.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Configuración de CORS: </w:t>
      </w:r>
      <w:r>
        <w:rPr>
          <w:sz w:val="22"/>
        </w:rPr>
        <w:t>Cada microservicio Django tiene configurado django-cors-headers para autorizar exclusivamente los dominios públicos asignados por Vercel y los entornos locales de desarrollo.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Gestión de Secretos en la Nube: </w:t>
      </w:r>
      <w:r>
        <w:rPr>
          <w:sz w:val="22"/>
        </w:rPr>
        <w:t>Ningún archivo .env se sube a repositorios públicos. Las credenciales de base de datos y la API Key de Transbank se inyectan como variables de entorno directamente en los paneles de control de Render y Vercel.</w:t>
      </w:r>
    </w:p>
    <w:p>
      <w:pPr>
        <w:keepNext/>
        <w:spacing w:before="320" w:after="80"/>
      </w:pPr>
      <w:r>
        <w:rPr>
          <w:b/>
          <w:color w:val="1E3A8A"/>
          <w:sz w:val="32"/>
        </w:rPr>
        <w:t>5. Conclusiones y Estado del Hito 1</w:t>
      </w:r>
    </w:p>
    <w:p>
      <w:pPr>
        <w:spacing w:after="120" w:line="276" w:lineRule="auto"/>
      </w:pPr>
      <w:r>
        <w:rPr>
          <w:sz w:val="22"/>
        </w:rPr>
        <w:t>Con la culminación de esta investigación técnica, el equipo de SolNaciente cuenta con los fundamentos de ingeniería requeridos para la defensa del Hito 1: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1. Viabilidad de Pagos Garantizada: </w:t>
      </w:r>
      <w:r>
        <w:rPr>
          <w:sz w:val="22"/>
        </w:rPr>
        <w:t>Se cuenta con un proveedor de pagos probado (Webpay Plus Integración), con código de comercio verificado, moneda oficial en CLP y tarjetas de prueba operativas.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2. Arquitectura de Despliegue Factible: </w:t>
      </w:r>
      <w:r>
        <w:rPr>
          <w:sz w:val="22"/>
        </w:rPr>
        <w:t>La combinación Vercel + Render + Neon + MongoDB Atlas permite desplegar los 3 microservicios y el frontend sin incurrir en costos económicos, respetando las restricciones de cuotas.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3. Trazabilidad Total: </w:t>
      </w:r>
      <w:r>
        <w:rPr>
          <w:sz w:val="22"/>
        </w:rPr>
        <w:t>Este informe constituye la evidencia formal exigida para la rúbrica de 'Pago y despliegue' (20 puntos) del Hito 1.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