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A8A"/>
          <w:sz w:val="48"/>
        </w:rPr>
        <w:t>SolNaciente Table Tennis</w:t>
      </w:r>
    </w:p>
    <w:p>
      <w:pPr>
        <w:spacing w:after="280"/>
        <w:jc w:val="center"/>
      </w:pPr>
      <w:r>
        <w:rPr>
          <w:color w:val="475569"/>
          <w:sz w:val="24"/>
        </w:rPr>
        <w:t>Propuesta de Diseño Previo, Identidad Visual y Especificación de Wireframes</w:t>
        <w:br/>
        <w:t>Solemne 02 — Desarrollo de Aplicaciones Web | Evidencia Hito 1 (20 pts)</w:t>
      </w:r>
    </w:p>
    <w:tbl>
      <w:tblPr>
        <w:tblW w:type="auto" w:w="0"/>
        <w:jc w:val="center"/>
        <w:tblLook w:firstColumn="1" w:firstRow="1" w:lastColumn="0" w:lastRow="0" w:noHBand="0" w:noVBand="1" w:val="04A0"/>
      </w:tblPr>
      <w:tblGrid>
        <w:gridCol w:w="4680"/>
        <w:gridCol w:w="4680"/>
      </w:tblGrid>
      <w:tr>
        <w:trPr>
          <w:cantSplit/>
        </w:trPr>
        <w:tc>
          <w:tcPr>
            <w:tcW w:type="dxa" w:w="4680"/>
            <w:shd w:fill="F1F5F9"/>
          </w:tcPr>
          <w:p>
            <w:pPr>
              <w:spacing w:after="40" w:before="40"/>
            </w:pPr>
            <w:r>
              <w:rPr>
                <w:b/>
                <w:sz w:val="20"/>
              </w:rPr>
              <w:t xml:space="preserve">Nombre Comercial: </w:t>
            </w:r>
            <w:r>
              <w:rPr>
                <w:sz w:val="20"/>
              </w:rPr>
              <w:t>SolNaciente</w:t>
            </w:r>
          </w:p>
        </w:tc>
        <w:tc>
          <w:tcPr>
            <w:tcW w:type="dxa" w:w="4680"/>
            <w:shd w:fill="F1F5F9"/>
          </w:tcPr>
          <w:p>
            <w:pPr>
              <w:spacing w:after="40" w:before="40"/>
            </w:pPr>
            <w:r>
              <w:rPr>
                <w:b/>
                <w:sz w:val="20"/>
              </w:rPr>
              <w:t xml:space="preserve">Rubro Oficial: </w:t>
            </w:r>
            <w:r>
              <w:rPr>
                <w:sz w:val="20"/>
              </w:rPr>
              <w:t>Equipamiento Técnico de Tenis de Mesa</w:t>
            </w:r>
          </w:p>
        </w:tc>
      </w:tr>
      <w:tr>
        <w:trPr>
          <w:cantSplit/>
        </w:trPr>
        <w:tc>
          <w:tcPr>
            <w:tcW w:type="dxa" w:w="4680"/>
            <w:shd w:fill="F1F5F9"/>
          </w:tcPr>
          <w:p>
            <w:pPr>
              <w:spacing w:after="40" w:before="40"/>
            </w:pPr>
            <w:r>
              <w:rPr>
                <w:b/>
                <w:sz w:val="20"/>
              </w:rPr>
              <w:t xml:space="preserve">Asignatura / Evaluación: </w:t>
            </w:r>
            <w:r>
              <w:rPr>
                <w:sz w:val="20"/>
              </w:rPr>
              <w:t>Desarrollo de Apps Web — Solemne 02</w:t>
            </w:r>
          </w:p>
        </w:tc>
        <w:tc>
          <w:tcPr>
            <w:tcW w:type="dxa" w:w="4680"/>
            <w:shd w:fill="F1F5F9"/>
          </w:tcPr>
          <w:p>
            <w:pPr>
              <w:spacing w:after="40" w:before="40"/>
            </w:pPr>
            <w:r>
              <w:rPr>
                <w:b/>
                <w:sz w:val="20"/>
              </w:rPr>
              <w:t xml:space="preserve">Moneda Oficial: </w:t>
            </w:r>
            <w:r>
              <w:rPr>
                <w:sz w:val="20"/>
              </w:rPr>
              <w:t>Pesos Chilenos (CLP)</w:t>
            </w:r>
          </w:p>
        </w:tc>
      </w:tr>
    </w:tbl>
    <w:p>
      <w:pPr>
        <w:keepNext/>
        <w:spacing w:before="320" w:after="80"/>
      </w:pPr>
      <w:r>
        <w:rPr>
          <w:b/>
          <w:color w:val="1E3A8A"/>
          <w:sz w:val="32"/>
        </w:rPr>
        <w:t>1. Rubro, Nombre Comercial e Identidad Visual</w:t>
      </w:r>
    </w:p>
    <w:p>
      <w:pPr>
        <w:spacing w:after="120" w:line="276" w:lineRule="auto"/>
      </w:pPr>
      <w:r>
        <w:rPr>
          <w:sz w:val="22"/>
        </w:rPr>
        <w:t>SolNaciente es una plataforma de comercio electrónico especializada en la venta y distribución de equipamiento profesional para tenis de mesa (ping pong). La propuesta de valor radica en ofrecer un catálogo técnico riguroso que detalla especificaciones balísticas y ergonómicas (velocidad, control, dureza de esponja, tipo de mango), garantizando la disponibilidad física en tiempo real sin riesgo de sobreventa bajo concurrencia.</w:t>
      </w:r>
    </w:p>
    <w:p>
      <w:pPr>
        <w:keepNext/>
        <w:spacing w:before="240" w:after="60"/>
      </w:pPr>
      <w:r>
        <w:rPr>
          <w:b/>
          <w:color w:val="DC2626"/>
          <w:sz w:val="26"/>
        </w:rPr>
        <w:t>1.1 Categorías Oficiales del Catálogo</w:t>
      </w:r>
    </w:p>
    <w:p>
      <w:pPr>
        <w:pStyle w:val="ListBullet"/>
        <w:spacing w:before="20" w:after="60"/>
        <w:ind w:left="360"/>
      </w:pPr>
      <w:r>
        <w:rPr>
          <w:b/>
          <w:sz w:val="22"/>
        </w:rPr>
        <w:t xml:space="preserve">1. Maderos (Blades): </w:t>
      </w:r>
      <w:r>
        <w:rPr>
          <w:sz w:val="22"/>
        </w:rPr>
        <w:t>Capas de maderas seleccionadas (Hinoki, Koto, Limba, Balsa) reforzadas con fibras de carbono (ALC, ZLC). Disponibles en mangos cóncavos (FL), rectos (ST) y anatómicos (AN).</w:t>
      </w:r>
    </w:p>
    <w:p>
      <w:pPr>
        <w:pStyle w:val="ListBullet"/>
        <w:spacing w:before="20" w:after="60"/>
        <w:ind w:left="360"/>
      </w:pPr>
      <w:r>
        <w:rPr>
          <w:b/>
          <w:sz w:val="22"/>
        </w:rPr>
        <w:t xml:space="preserve">2. Gomas (Rubbers): </w:t>
      </w:r>
      <w:r>
        <w:rPr>
          <w:sz w:val="22"/>
        </w:rPr>
        <w:t>Superficies lisas con efecto tensor de alta velocidad y efecto catapulta, así como gomas de púas cortas y largas para jugadores defensivos. Espesores reglamentarios de esponja (1.9mm, 2.1mm y MAX).</w:t>
      </w:r>
    </w:p>
    <w:p>
      <w:pPr>
        <w:pStyle w:val="ListBullet"/>
        <w:spacing w:before="20" w:after="60"/>
        <w:ind w:left="360"/>
      </w:pPr>
      <w:r>
        <w:rPr>
          <w:b/>
          <w:sz w:val="22"/>
        </w:rPr>
        <w:t xml:space="preserve">3. Pelotas (Balls): </w:t>
      </w:r>
      <w:r>
        <w:rPr>
          <w:sz w:val="22"/>
        </w:rPr>
        <w:t>Pelotas oficiales de competición 3 Estrellas 40+ de material ABS aprobadas por la ITTF, además de packs de alto rendimiento para entrenamientos de clubes.</w:t>
      </w:r>
    </w:p>
    <w:p>
      <w:pPr>
        <w:pStyle w:val="ListBullet"/>
        <w:spacing w:before="20" w:after="60"/>
        <w:ind w:left="360"/>
      </w:pPr>
      <w:r>
        <w:rPr>
          <w:b/>
          <w:sz w:val="22"/>
        </w:rPr>
        <w:t xml:space="preserve">4. Zapatillas (Footwear): </w:t>
      </w:r>
      <w:r>
        <w:rPr>
          <w:sz w:val="22"/>
        </w:rPr>
        <w:t>Calzado especializado con suelas de goma natural antideslizante, diseñado para amortiguar desplazamientos laterales rápidos sobre parqué y superficies sintéticas.</w:t>
      </w:r>
    </w:p>
    <w:p>
      <w:pPr>
        <w:pStyle w:val="ListBullet"/>
        <w:spacing w:before="20" w:after="60"/>
        <w:ind w:left="360"/>
      </w:pPr>
      <w:r>
        <w:rPr>
          <w:b/>
          <w:sz w:val="22"/>
        </w:rPr>
        <w:t xml:space="preserve">5. Mesas de Competición (Tables): </w:t>
      </w:r>
      <w:r>
        <w:rPr>
          <w:sz w:val="22"/>
        </w:rPr>
        <w:t>Mesas oficiales de interior y exterior con tableros de 25 mm con rebote uniforme, marco metálico reforzado y ruedas con sistema de freno individual.</w:t>
      </w:r>
    </w:p>
    <w:p>
      <w:pPr>
        <w:keepNext/>
        <w:spacing w:before="320" w:after="80"/>
      </w:pPr>
      <w:r>
        <w:rPr>
          <w:b/>
          <w:color w:val="1E3A8A"/>
          <w:sz w:val="32"/>
        </w:rPr>
        <w:t>2. Sistema de Diseño: Los Cuatro Temas Visuales (RF-04 / RNF-17)</w:t>
      </w:r>
    </w:p>
    <w:p>
      <w:pPr>
        <w:spacing w:after="120" w:line="276" w:lineRule="auto"/>
      </w:pPr>
      <w:r>
        <w:rPr>
          <w:sz w:val="22"/>
        </w:rPr>
        <w:t>Para cumplir con los requisitos RF-04 y RNF-17, el frontend implementa un sistema reactivo de temas basado en tokens CSS y selectores data-theme. El tema activo es administrable desde el panel de control, persiste en la base de datos PostgreSQL de Gestión y se propaga instantáneamente a todas las pantallas públicas sin requerir recompilación de código ni nuevo despliegue.</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shd w:fill="1E3A8A"/>
          </w:tcPr>
          <w:p>
            <w:pPr>
              <w:keepNext/>
              <w:jc w:val="center"/>
            </w:pPr>
            <w:r>
              <w:rPr>
                <w:b/>
                <w:color w:val="FFFFFF"/>
                <w:sz w:val="20"/>
              </w:rPr>
              <w:t>Tema Visual</w:t>
            </w:r>
          </w:p>
        </w:tc>
        <w:tc>
          <w:tcPr>
            <w:tcW w:type="dxa" w:w="1560"/>
            <w:vAlign w:val="center"/>
            <w:shd w:fill="1E3A8A"/>
          </w:tcPr>
          <w:p>
            <w:pPr>
              <w:keepNext/>
              <w:jc w:val="center"/>
            </w:pPr>
            <w:r>
              <w:rPr>
                <w:b/>
                <w:color w:val="FFFFFF"/>
                <w:sz w:val="20"/>
              </w:rPr>
              <w:t>Origen Visual / Concepto</w:t>
            </w:r>
          </w:p>
        </w:tc>
        <w:tc>
          <w:tcPr>
            <w:tcW w:type="dxa" w:w="1560"/>
            <w:vAlign w:val="center"/>
            <w:shd w:fill="1E3A8A"/>
          </w:tcPr>
          <w:p>
            <w:pPr>
              <w:keepNext/>
              <w:jc w:val="center"/>
            </w:pPr>
            <w:r>
              <w:rPr>
                <w:b/>
                <w:color w:val="FFFFFF"/>
                <w:sz w:val="20"/>
              </w:rPr>
              <w:t>Primario</w:t>
            </w:r>
          </w:p>
        </w:tc>
        <w:tc>
          <w:tcPr>
            <w:tcW w:type="dxa" w:w="1560"/>
            <w:vAlign w:val="center"/>
            <w:shd w:fill="1E3A8A"/>
          </w:tcPr>
          <w:p>
            <w:pPr>
              <w:keepNext/>
              <w:jc w:val="center"/>
            </w:pPr>
            <w:r>
              <w:rPr>
                <w:b/>
                <w:color w:val="FFFFFF"/>
                <w:sz w:val="20"/>
              </w:rPr>
              <w:t>Secundario / Acento</w:t>
            </w:r>
          </w:p>
        </w:tc>
        <w:tc>
          <w:tcPr>
            <w:tcW w:type="dxa" w:w="1560"/>
            <w:vAlign w:val="center"/>
            <w:shd w:fill="1E3A8A"/>
          </w:tcPr>
          <w:p>
            <w:pPr>
              <w:keepNext/>
              <w:jc w:val="center"/>
            </w:pPr>
            <w:r>
              <w:rPr>
                <w:b/>
                <w:color w:val="FFFFFF"/>
                <w:sz w:val="20"/>
              </w:rPr>
              <w:t>Fondo</w:t>
            </w:r>
          </w:p>
        </w:tc>
        <w:tc>
          <w:tcPr>
            <w:tcW w:type="dxa" w:w="1560"/>
            <w:vAlign w:val="center"/>
            <w:shd w:fill="1E3A8A"/>
          </w:tcPr>
          <w:p>
            <w:pPr>
              <w:keepNext/>
              <w:jc w:val="center"/>
            </w:pPr>
            <w:r>
              <w:rPr>
                <w:b/>
                <w:color w:val="FFFFFF"/>
                <w:sz w:val="20"/>
              </w:rPr>
              <w:t>Superficie</w:t>
            </w:r>
          </w:p>
        </w:tc>
      </w:tr>
      <w:tr>
        <w:trPr>
          <w:cantSplit/>
        </w:trPr>
        <w:tc>
          <w:tcPr>
            <w:tcW w:type="dxa" w:w="1560"/>
            <w:vAlign w:val="center"/>
          </w:tcPr>
          <w:p>
            <w:pPr>
              <w:spacing w:before="60" w:after="60"/>
            </w:pPr>
            <w:r>
              <w:rPr>
                <w:b/>
                <w:sz w:val="20"/>
              </w:rPr>
              <w:t>1. Dark Glass (Principal)</w:t>
            </w:r>
          </w:p>
        </w:tc>
        <w:tc>
          <w:tcPr>
            <w:tcW w:type="dxa" w:w="1560"/>
            <w:vAlign w:val="center"/>
          </w:tcPr>
          <w:p>
            <w:pPr>
              <w:spacing w:before="60" w:after="60"/>
            </w:pPr>
            <w:r>
              <w:rPr>
                <w:sz w:val="20"/>
              </w:rPr>
              <w:t>Estética Glassmorphism con fondo oscuro elegante, botones blancos y tarjetas translúcidas.</w:t>
            </w:r>
          </w:p>
        </w:tc>
        <w:tc>
          <w:tcPr>
            <w:tcW w:type="dxa" w:w="1560"/>
            <w:vAlign w:val="center"/>
          </w:tcPr>
          <w:p>
            <w:pPr>
              <w:spacing w:before="60" w:after="60"/>
            </w:pPr>
            <w:r>
              <w:rPr>
                <w:sz w:val="20"/>
              </w:rPr>
              <w:t>#FFFFFF (Blanco)</w:t>
            </w:r>
          </w:p>
        </w:tc>
        <w:tc>
          <w:tcPr>
            <w:tcW w:type="dxa" w:w="1560"/>
            <w:vAlign w:val="center"/>
          </w:tcPr>
          <w:p>
            <w:pPr>
              <w:spacing w:before="60" w:after="60"/>
            </w:pPr>
            <w:r>
              <w:rPr>
                <w:sz w:val="20"/>
              </w:rPr>
              <w:t>#EF4444 (Rojo)</w:t>
            </w:r>
          </w:p>
        </w:tc>
        <w:tc>
          <w:tcPr>
            <w:tcW w:type="dxa" w:w="1560"/>
            <w:vAlign w:val="center"/>
          </w:tcPr>
          <w:p>
            <w:pPr>
              <w:spacing w:before="60" w:after="60"/>
            </w:pPr>
            <w:r>
              <w:rPr>
                <w:sz w:val="20"/>
              </w:rPr>
              <w:t>#0B0E14 (Slate Oscuro)</w:t>
            </w:r>
          </w:p>
        </w:tc>
        <w:tc>
          <w:tcPr>
            <w:tcW w:type="dxa" w:w="1560"/>
            <w:vAlign w:val="center"/>
          </w:tcPr>
          <w:p>
            <w:pPr>
              <w:spacing w:before="60" w:after="60"/>
            </w:pPr>
            <w:r>
              <w:rPr>
                <w:sz w:val="20"/>
              </w:rPr>
              <w:t>rgba(255,255,255,0.06)</w:t>
            </w:r>
          </w:p>
        </w:tc>
      </w:tr>
      <w:tr>
        <w:trPr>
          <w:cantSplit/>
        </w:trPr>
        <w:tc>
          <w:tcPr>
            <w:tcW w:type="dxa" w:w="1560"/>
            <w:vAlign w:val="center"/>
            <w:shd w:fill="F1F5F9"/>
          </w:tcPr>
          <w:p>
            <w:pPr>
              <w:spacing w:before="60" w:after="60"/>
            </w:pPr>
            <w:r>
              <w:rPr>
                <w:b/>
                <w:sz w:val="20"/>
              </w:rPr>
              <w:t>2. Sol Naciente</w:t>
            </w:r>
          </w:p>
        </w:tc>
        <w:tc>
          <w:tcPr>
            <w:tcW w:type="dxa" w:w="1560"/>
            <w:vAlign w:val="center"/>
            <w:shd w:fill="F1F5F9"/>
          </w:tcPr>
          <w:p>
            <w:pPr>
              <w:spacing w:before="60" w:after="60"/>
            </w:pPr>
            <w:r>
              <w:rPr>
                <w:sz w:val="20"/>
              </w:rPr>
              <w:t>Inspirado en el rojo intenso de la goma de competición y la bandera del sol naciente.</w:t>
            </w:r>
          </w:p>
        </w:tc>
        <w:tc>
          <w:tcPr>
            <w:tcW w:type="dxa" w:w="1560"/>
            <w:vAlign w:val="center"/>
            <w:shd w:fill="F1F5F9"/>
          </w:tcPr>
          <w:p>
            <w:pPr>
              <w:spacing w:before="60" w:after="60"/>
            </w:pPr>
            <w:r>
              <w:rPr>
                <w:sz w:val="20"/>
              </w:rPr>
              <w:t>#DC2626 (Rojo Sol)</w:t>
            </w:r>
          </w:p>
        </w:tc>
        <w:tc>
          <w:tcPr>
            <w:tcW w:type="dxa" w:w="1560"/>
            <w:vAlign w:val="center"/>
            <w:shd w:fill="F1F5F9"/>
          </w:tcPr>
          <w:p>
            <w:pPr>
              <w:spacing w:before="60" w:after="60"/>
            </w:pPr>
            <w:r>
              <w:rPr>
                <w:sz w:val="20"/>
              </w:rPr>
              <w:t>#18181B (Negro)</w:t>
            </w:r>
          </w:p>
        </w:tc>
        <w:tc>
          <w:tcPr>
            <w:tcW w:type="dxa" w:w="1560"/>
            <w:vAlign w:val="center"/>
            <w:shd w:fill="F1F5F9"/>
          </w:tcPr>
          <w:p>
            <w:pPr>
              <w:spacing w:before="60" w:after="60"/>
            </w:pPr>
            <w:r>
              <w:rPr>
                <w:sz w:val="20"/>
              </w:rPr>
              <w:t>#FFFFFF (Blanco Puro)</w:t>
            </w:r>
          </w:p>
        </w:tc>
        <w:tc>
          <w:tcPr>
            <w:tcW w:type="dxa" w:w="1560"/>
            <w:vAlign w:val="center"/>
            <w:shd w:fill="F1F5F9"/>
          </w:tcPr>
          <w:p>
            <w:pPr>
              <w:spacing w:before="60" w:after="60"/>
            </w:pPr>
            <w:r>
              <w:rPr>
                <w:sz w:val="20"/>
              </w:rPr>
              <w:t>#F4F4F5 (Gris Claro)</w:t>
            </w:r>
          </w:p>
        </w:tc>
      </w:tr>
      <w:tr>
        <w:trPr>
          <w:cantSplit/>
        </w:trPr>
        <w:tc>
          <w:tcPr>
            <w:tcW w:type="dxa" w:w="1560"/>
            <w:vAlign w:val="center"/>
          </w:tcPr>
          <w:p>
            <w:pPr>
              <w:spacing w:before="60" w:after="60"/>
            </w:pPr>
            <w:r>
              <w:rPr>
                <w:b/>
                <w:sz w:val="20"/>
              </w:rPr>
              <w:t>3. Madera &amp; Carbono</w:t>
            </w:r>
          </w:p>
        </w:tc>
        <w:tc>
          <w:tcPr>
            <w:tcW w:type="dxa" w:w="1560"/>
            <w:vAlign w:val="center"/>
          </w:tcPr>
          <w:p>
            <w:pPr>
              <w:spacing w:before="60" w:after="60"/>
            </w:pPr>
            <w:r>
              <w:rPr>
                <w:sz w:val="20"/>
              </w:rPr>
              <w:t>Tonalidades cálidas del canto del madero combinadas con el grafito del mango de carbono.</w:t>
            </w:r>
          </w:p>
        </w:tc>
        <w:tc>
          <w:tcPr>
            <w:tcW w:type="dxa" w:w="1560"/>
            <w:vAlign w:val="center"/>
          </w:tcPr>
          <w:p>
            <w:pPr>
              <w:spacing w:before="60" w:after="60"/>
            </w:pPr>
            <w:r>
              <w:rPr>
                <w:sz w:val="20"/>
              </w:rPr>
              <w:t>#D97706 (Ámbar Madera)</w:t>
            </w:r>
          </w:p>
        </w:tc>
        <w:tc>
          <w:tcPr>
            <w:tcW w:type="dxa" w:w="1560"/>
            <w:vAlign w:val="center"/>
          </w:tcPr>
          <w:p>
            <w:pPr>
              <w:spacing w:before="60" w:after="60"/>
            </w:pPr>
            <w:r>
              <w:rPr>
                <w:sz w:val="20"/>
              </w:rPr>
              <w:t>#1F2937 (Carbono)</w:t>
            </w:r>
          </w:p>
        </w:tc>
        <w:tc>
          <w:tcPr>
            <w:tcW w:type="dxa" w:w="1560"/>
            <w:vAlign w:val="center"/>
          </w:tcPr>
          <w:p>
            <w:pPr>
              <w:spacing w:before="60" w:after="60"/>
            </w:pPr>
            <w:r>
              <w:rPr>
                <w:sz w:val="20"/>
              </w:rPr>
              <w:t>#FAF8F5 (Crema)</w:t>
            </w:r>
          </w:p>
        </w:tc>
        <w:tc>
          <w:tcPr>
            <w:tcW w:type="dxa" w:w="1560"/>
            <w:vAlign w:val="center"/>
          </w:tcPr>
          <w:p>
            <w:pPr>
              <w:spacing w:before="60" w:after="60"/>
            </w:pPr>
            <w:r>
              <w:rPr>
                <w:sz w:val="20"/>
              </w:rPr>
              <w:t>#F3EFEA (Superficie Madera)</w:t>
            </w:r>
          </w:p>
        </w:tc>
      </w:tr>
      <w:tr>
        <w:trPr>
          <w:cantSplit/>
        </w:trPr>
        <w:tc>
          <w:tcPr>
            <w:tcW w:type="dxa" w:w="1560"/>
            <w:vAlign w:val="center"/>
            <w:shd w:fill="F1F5F9"/>
          </w:tcPr>
          <w:p>
            <w:pPr>
              <w:spacing w:before="60" w:after="60"/>
            </w:pPr>
            <w:r>
              <w:rPr>
                <w:b/>
                <w:sz w:val="20"/>
              </w:rPr>
              <w:t>4. Pelota 40+ (Minimal)</w:t>
            </w:r>
          </w:p>
        </w:tc>
        <w:tc>
          <w:tcPr>
            <w:tcW w:type="dxa" w:w="1560"/>
            <w:vAlign w:val="center"/>
            <w:shd w:fill="F1F5F9"/>
          </w:tcPr>
          <w:p>
            <w:pPr>
              <w:spacing w:before="60" w:after="60"/>
            </w:pPr>
            <w:r>
              <w:rPr>
                <w:sz w:val="20"/>
              </w:rPr>
              <w:t>Inspirado en la pureza blanca de la pelota oficial, texto limpio y acentos carmesí.</w:t>
            </w:r>
          </w:p>
        </w:tc>
        <w:tc>
          <w:tcPr>
            <w:tcW w:type="dxa" w:w="1560"/>
            <w:vAlign w:val="center"/>
            <w:shd w:fill="F1F5F9"/>
          </w:tcPr>
          <w:p>
            <w:pPr>
              <w:spacing w:before="60" w:after="60"/>
            </w:pPr>
            <w:r>
              <w:rPr>
                <w:sz w:val="20"/>
              </w:rPr>
              <w:t>#09090B (Grafito)</w:t>
            </w:r>
          </w:p>
        </w:tc>
        <w:tc>
          <w:tcPr>
            <w:tcW w:type="dxa" w:w="1560"/>
            <w:vAlign w:val="center"/>
            <w:shd w:fill="F1F5F9"/>
          </w:tcPr>
          <w:p>
            <w:pPr>
              <w:spacing w:before="60" w:after="60"/>
            </w:pPr>
            <w:r>
              <w:rPr>
                <w:sz w:val="20"/>
              </w:rPr>
              <w:t>#E11D48 (Carmesí)</w:t>
            </w:r>
          </w:p>
        </w:tc>
        <w:tc>
          <w:tcPr>
            <w:tcW w:type="dxa" w:w="1560"/>
            <w:vAlign w:val="center"/>
            <w:shd w:fill="F1F5F9"/>
          </w:tcPr>
          <w:p>
            <w:pPr>
              <w:spacing w:before="60" w:after="60"/>
            </w:pPr>
            <w:r>
              <w:rPr>
                <w:sz w:val="20"/>
              </w:rPr>
              <w:t>#FFFFFF (Blanco Nieve)</w:t>
            </w:r>
          </w:p>
        </w:tc>
        <w:tc>
          <w:tcPr>
            <w:tcW w:type="dxa" w:w="1560"/>
            <w:vAlign w:val="center"/>
            <w:shd w:fill="F1F5F9"/>
          </w:tcPr>
          <w:p>
            <w:pPr>
              <w:spacing w:before="60" w:after="60"/>
            </w:pPr>
            <w:r>
              <w:rPr>
                <w:sz w:val="20"/>
              </w:rPr>
              <w:t>#F8FAFC (Blanco Humo)</w:t>
            </w:r>
          </w:p>
        </w:tc>
      </w:tr>
    </w:tbl>
    <w:p>
      <w:pPr>
        <w:keepNext/>
        <w:spacing w:before="320" w:after="80"/>
      </w:pPr>
      <w:r>
        <w:rPr>
          <w:b/>
          <w:color w:val="1E3A8A"/>
          <w:sz w:val="32"/>
        </w:rPr>
        <w:t>3. Especificación Técnica de Wireframes (10 Páginas Obligatorias)</w:t>
      </w:r>
    </w:p>
    <w:p>
      <w:pPr>
        <w:spacing w:after="120" w:line="276" w:lineRule="auto"/>
      </w:pPr>
      <w:r>
        <w:rPr>
          <w:sz w:val="22"/>
        </w:rPr>
        <w:t>La arquitectura de interfaz está proyectada para cumplir estrictamente con el requisito RNF-06 (sin desplazamiento horizontal en anchos de 360 px, 768 px y 1.440 px) y RNF-07 (navegación completa por teclado, foco visible y etiquetas accesibles).</w:t>
      </w:r>
    </w:p>
    <w:p>
      <w:pPr>
        <w:keepNext/>
        <w:spacing w:before="240" w:after="60"/>
      </w:pPr>
      <w:r>
        <w:rPr>
          <w:b/>
          <w:color w:val="DC2626"/>
          <w:sz w:val="26"/>
        </w:rPr>
        <w:t>3.1 Página de Inicio (/) — RF-01 / RF-02</w:t>
      </w:r>
    </w:p>
    <w:p>
      <w:pPr>
        <w:spacing w:after="120" w:line="276" w:lineRule="auto"/>
      </w:pPr>
      <w:r>
        <w:rPr>
          <w:sz w:val="22"/>
        </w:rPr>
        <w:t>Layout tipo Glassmorphism con Navbar superior flotante. Hero Banner dinámico administrable desde el CMS con título motivacional, imagen de alta resolución y botones de acción rápida ('Ver Catálogo' y 'Quiénes Somos'). Carrusel interactivo con accesos directos a las 5 categorías oficiales y grilla de 'Productos Más Vendidos' con tarjetas de producto que presentan foto principal, nombre, precio en CLP y botón de compra directa.</w:t>
      </w:r>
    </w:p>
    <w:p>
      <w:pPr>
        <w:keepNext/>
        <w:spacing w:before="240" w:after="60"/>
      </w:pPr>
      <w:r>
        <w:rPr>
          <w:b/>
          <w:color w:val="DC2626"/>
          <w:sz w:val="26"/>
        </w:rPr>
        <w:t>3.2 Catálogo de Productos (/catalogo) — RF-20 / RNF-03</w:t>
      </w:r>
    </w:p>
    <w:p>
      <w:pPr>
        <w:spacing w:after="120" w:line="276" w:lineRule="auto"/>
      </w:pPr>
      <w:r>
        <w:rPr>
          <w:sz w:val="22"/>
        </w:rPr>
        <w:t>Barra lateral izquierda (sidebar) con filtros por categoría (Maderos, Gomas, Pelotas, Zapatillas, Mesas), selector de rango de precio en CLP y selector de ordenamiento (precio ascendente/descendente). Grilla de productos responsiva con paginación en backend limitada a un máximo de 50 ítems por página (RNF-03). Cada tarjeta de producto muestra indicador de disponibilidad ('En Stock' o 'Agotado'). Si el stock es cero, el botón de compra se deshabilita automáticamente.</w:t>
      </w:r>
    </w:p>
    <w:p>
      <w:pPr>
        <w:keepNext/>
        <w:spacing w:before="240" w:after="60"/>
      </w:pPr>
      <w:r>
        <w:rPr>
          <w:b/>
          <w:color w:val="DC2626"/>
          <w:sz w:val="26"/>
        </w:rPr>
        <w:t>3.3 Detalle de Producto con Galería (/producto/:id) — RF-21 / RB-05</w:t>
      </w:r>
    </w:p>
    <w:p>
      <w:pPr>
        <w:spacing w:after="120" w:line="276" w:lineRule="auto"/>
      </w:pPr>
      <w:r>
        <w:rPr>
          <w:sz w:val="22"/>
        </w:rPr>
        <w:t>Galería interactiva con un visor principal de alta definición y carrusel de 4 a 6 miniaturas obligatorias (cara delantera, cara trasera, corte de capas de madera, textura de goma, caja/empaque y producto en mesa). Panel lateral de compra con nombre oficial, código inmutable, precio unitario exacto, indicador de stock disponible (físico - reservado), selector numérico de unidades y ficha técnica estructurada (Control, Velocidad, Efecto y Tipo de Mango).</w:t>
      </w:r>
    </w:p>
    <w:p>
      <w:pPr>
        <w:keepNext/>
        <w:spacing w:before="240" w:after="60"/>
      </w:pPr>
      <w:r>
        <w:rPr>
          <w:b/>
          <w:color w:val="DC2626"/>
          <w:sz w:val="26"/>
        </w:rPr>
        <w:t>3.4 Carrito de Compras (/carrito) — RF-22 / RF-25 / RB-01</w:t>
      </w:r>
    </w:p>
    <w:p>
      <w:pPr>
        <w:spacing w:after="120" w:line="276" w:lineRule="auto"/>
      </w:pPr>
      <w:r>
        <w:rPr>
          <w:sz w:val="22"/>
        </w:rPr>
        <w:t>Tabla interactiva con productos agregados, imágenes en miniatura, controles de incremento y decremento de cantidad (+ / -), subtotal por línea y botón para remover el ítem. Caja de resumen con cálculo monetario exacto del total en pesos chilenos sin cargos no especificados. Incluye leyenda clara que informa que el carrito anónimo no reserva stock (RB-01). Botón 'Continuar al Pago' que exige autenticación antes de avanzar.</w:t>
      </w:r>
    </w:p>
    <w:p>
      <w:pPr>
        <w:keepNext/>
        <w:spacing w:before="240" w:after="60"/>
      </w:pPr>
      <w:r>
        <w:rPr>
          <w:b/>
          <w:color w:val="DC2626"/>
          <w:sz w:val="26"/>
        </w:rPr>
        <w:t>3.5 Autenticación y Registro (/login y /registro) — RF-07 / RF-08 / RB-07</w:t>
      </w:r>
    </w:p>
    <w:p>
      <w:pPr>
        <w:spacing w:after="120" w:line="276" w:lineRule="auto"/>
      </w:pPr>
      <w:r>
        <w:rPr>
          <w:sz w:val="22"/>
        </w:rPr>
        <w:t>Formulario de inicio de sesión con correo y contraseña, sanitizado contra inyecciones y sin revelar datos internos en rechazos. Redirección inteligente: los clientes regresan automáticamente a su carrito para completar la compra; las cuentas de administradores son dirigidas al panel de administración. El formulario de registro público valida unicidad de correo y crea exclusivamente cuentas con rol 'Cliente' (RB-07).</w:t>
      </w:r>
    </w:p>
    <w:p>
      <w:pPr>
        <w:keepNext/>
        <w:spacing w:before="240" w:after="60"/>
      </w:pPr>
      <w:r>
        <w:rPr>
          <w:b/>
          <w:color w:val="DC2626"/>
          <w:sz w:val="26"/>
        </w:rPr>
        <w:t>3.6 Checkout y Reserva de Existencias (/checkout) — RF-27 / RF-29</w:t>
      </w:r>
    </w:p>
    <w:p>
      <w:pPr>
        <w:spacing w:after="120" w:line="276" w:lineRule="auto"/>
      </w:pPr>
      <w:r>
        <w:rPr>
          <w:sz w:val="22"/>
        </w:rPr>
        <w:t>Resumen de orden con datos históricos congelados (snapshot inmutable de precios y cantidades). Al cargar esta pantalla se dispara la reserva indivisible de inventario en MongoDB con un temporizador visual de 15 minutos de vigencia (RF-29). Selector del método de pago conectado a la API de la pasarela en ambiente de pruebas (sandbox). El botón de confirmación bloquea clics repetidos para evitar transacciones involuntarias concurrentes.</w:t>
      </w:r>
    </w:p>
    <w:p>
      <w:pPr>
        <w:keepNext/>
        <w:spacing w:before="240" w:after="60"/>
      </w:pPr>
      <w:r>
        <w:rPr>
          <w:b/>
          <w:color w:val="DC2626"/>
          <w:sz w:val="26"/>
        </w:rPr>
        <w:t>3.7 Resumen y Confirmación de Compra (/orden/:id/resumen) — RF-34 / RF-35</w:t>
      </w:r>
    </w:p>
    <w:p>
      <w:pPr>
        <w:spacing w:after="120" w:line="276" w:lineRule="auto"/>
      </w:pPr>
      <w:r>
        <w:rPr>
          <w:sz w:val="22"/>
        </w:rPr>
        <w:t>Pantalla de confirmación oficial generada tras la validación del webhook de pago y la consolidación de inventario en MongoDB. Muestra identificador de orden único, fecha, productos, cantidades, total pagado y estado de la orden ('CONFIRMADA'). Incluye aviso informando el despacho de la notificación por correo electrónico tanto al cliente como a la administración de SolNaciente.</w:t>
      </w:r>
    </w:p>
    <w:p>
      <w:pPr>
        <w:keepNext/>
        <w:spacing w:before="240" w:after="60"/>
      </w:pPr>
      <w:r>
        <w:rPr>
          <w:b/>
          <w:color w:val="DC2626"/>
          <w:sz w:val="26"/>
        </w:rPr>
        <w:t>3.8 Quiénes Somos (/quienes-somos) — RF-03</w:t>
      </w:r>
    </w:p>
    <w:p>
      <w:pPr>
        <w:spacing w:after="120" w:line="276" w:lineRule="auto"/>
      </w:pPr>
      <w:r>
        <w:rPr>
          <w:sz w:val="22"/>
        </w:rPr>
        <w:t>Página institucional con historia del club y tienda SolNaciente, valores deportivos, misión y trayectoria en el tenis de mesa nacional. Todo el contenido (párrafos de texto, imágenes de campeonatos y datos destacados) es completamente administrable desde el panel de control sin tocar código fuente.</w:t>
      </w:r>
    </w:p>
    <w:p>
      <w:pPr>
        <w:keepNext/>
        <w:spacing w:before="240" w:after="60"/>
      </w:pPr>
      <w:r>
        <w:rPr>
          <w:b/>
          <w:color w:val="DC2626"/>
          <w:sz w:val="26"/>
        </w:rPr>
        <w:t>3.9 Contacto (/contacto) — RF-05 / RF-06</w:t>
      </w:r>
    </w:p>
    <w:p>
      <w:pPr>
        <w:spacing w:after="120" w:line="276" w:lineRule="auto"/>
      </w:pPr>
      <w:r>
        <w:rPr>
          <w:sz w:val="22"/>
        </w:rPr>
        <w:t>Formulario de contacto público con validaciones estrictas: Nombre (2 a 100 caracteres), Correo electrónico con formato válido y Mensaje (10 a 2.000 caracteres). Al enviar, almacena el mensaje de forma segura en PostgreSQL y muestra confirmación visual inmediata. Los mensajes quedan listados en el panel del administrador para su lectura y trazabilidad.</w:t>
      </w:r>
    </w:p>
    <w:p>
      <w:pPr>
        <w:keepNext/>
        <w:spacing w:before="240" w:after="60"/>
      </w:pPr>
      <w:r>
        <w:rPr>
          <w:b/>
          <w:color w:val="DC2626"/>
          <w:sz w:val="26"/>
        </w:rPr>
        <w:t>3.10 Panel de Administración (/admin) — RF-02 / RF-14 / RF-19</w:t>
      </w:r>
    </w:p>
    <w:p>
      <w:pPr>
        <w:spacing w:after="120" w:line="276" w:lineRule="auto"/>
      </w:pPr>
      <w:r>
        <w:rPr>
          <w:sz w:val="22"/>
        </w:rPr>
        <w:t>Panel con navegación lateral protegida exclusivo para administradores autenticados (los clientes tienen acceso denegado a nivel de backend CC-01). Módulos integrados: (1) Gestión de Usuarios (bloqueo/activación con protección concurrente del último administrador activo), (2) Catálogo de Productos (CRUD completo en MongoDB con carga de 4-6 imágenes y ajuste de stock físico respetando reservas), (3) CMS y Temas (editor de bloques de texto y selector de los 4 temas), y (4) Órdenes y Conciliación (reintento de correos y resolución de órdenes interrumpidas).</w:t>
      </w:r>
    </w:p>
    <w:p>
      <w:pPr>
        <w:keepNext/>
        <w:spacing w:before="320" w:after="80"/>
      </w:pPr>
      <w:r>
        <w:rPr>
          <w:b/>
          <w:color w:val="1E3A8A"/>
          <w:sz w:val="32"/>
        </w:rPr>
        <w:t>4. Criterios de Responsividad y Calidad (RNF-06 y RNF-07)</w:t>
      </w:r>
    </w:p>
    <w:p>
      <w:pPr>
        <w:spacing w:after="120" w:line="276" w:lineRule="auto"/>
      </w:pPr>
      <w:r>
        <w:rPr>
          <w:sz w:val="22"/>
        </w:rPr>
        <w:t>El frontend en React ha sido diseñado para operar de forma óptima en tres resoluciones clave:</w:t>
      </w:r>
    </w:p>
    <w:p>
      <w:pPr>
        <w:pStyle w:val="ListBullet"/>
        <w:spacing w:before="20" w:after="60"/>
        <w:ind w:left="360"/>
      </w:pPr>
      <w:r>
        <w:rPr>
          <w:b/>
          <w:sz w:val="22"/>
        </w:rPr>
        <w:t xml:space="preserve">Resolución Móvil (360 px): </w:t>
      </w:r>
      <w:r>
        <w:rPr>
          <w:sz w:val="22"/>
        </w:rPr>
        <w:t>Menú de navegación colapsable en hamburguesa, grilla de catálogo a 1 sola columna, galería de producto con carrusel táctil horizontal y botones de compra con área táctil mínima de 44x44 px.</w:t>
      </w:r>
    </w:p>
    <w:p>
      <w:pPr>
        <w:pStyle w:val="ListBullet"/>
        <w:spacing w:before="20" w:after="60"/>
        <w:ind w:left="360"/>
      </w:pPr>
      <w:r>
        <w:rPr>
          <w:b/>
          <w:sz w:val="22"/>
        </w:rPr>
        <w:t xml:space="preserve">Resolución Tablet (768 px): </w:t>
      </w:r>
      <w:r>
        <w:rPr>
          <w:sz w:val="22"/>
        </w:rPr>
        <w:t>Grilla de productos a 2 columnas, sidebar de filtros colapsable mediante cajón deslizable y tabla de carrito adaptada a tarjetas compactas.</w:t>
      </w:r>
    </w:p>
    <w:p>
      <w:pPr>
        <w:pStyle w:val="ListBullet"/>
        <w:spacing w:before="20" w:after="60"/>
        <w:ind w:left="360"/>
      </w:pPr>
      <w:r>
        <w:rPr>
          <w:b/>
          <w:sz w:val="22"/>
        </w:rPr>
        <w:t xml:space="preserve">Resolución Desktop (1.440 px): </w:t>
      </w:r>
      <w:r>
        <w:rPr>
          <w:sz w:val="22"/>
        </w:rPr>
        <w:t>Layout completo de alta gama, barra de navegación flotante estilo Glassmorphism, grilla de catálogo a 4 columnas y galería de producto expandida.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