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E3A8A"/>
          <w:sz w:val="48"/>
        </w:rPr>
        <w:t>SolNaciente Table Tennis</w:t>
      </w:r>
    </w:p>
    <w:p>
      <w:pPr>
        <w:spacing w:after="280"/>
        <w:jc w:val="center"/>
      </w:pPr>
      <w:r>
        <w:rPr>
          <w:color w:val="475569"/>
          <w:sz w:val="23"/>
        </w:rPr>
        <w:t>Especificación Técnica de Contratos de API REST (OpenAPI 3.0)</w:t>
        <w:br/>
        <w:t>Solemne 02 — Desarrollo de Aplicaciones Web | Evidencia Hito 1 (Arquitectura - 25 pts)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Actividad: </w:t>
            </w:r>
            <w:r>
              <w:t>SCRUM-17 (Contratos de API)</w:t>
            </w:r>
          </w:p>
        </w:tc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Estándar de Contrato: </w:t>
            </w:r>
            <w:r>
              <w:t>OpenAPI 3.0 (drf-spectacular)</w:t>
            </w:r>
          </w:p>
        </w:tc>
      </w:tr>
      <w:tr>
        <w:trPr>
          <w:cantSplit/>
        </w:trP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Microservicios Cubiertos: </w:t>
            </w:r>
            <w:r>
              <w:t>Gestión (8001), Catálogo (8002), Comercio (8003)</w:t>
            </w:r>
          </w:p>
        </w:tc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Requisito No Funcional: </w:t>
            </w:r>
            <w:r>
              <w:t>RNF-05 (Compatibilidad y Esquemas)</w:t>
            </w:r>
          </w:p>
        </w:tc>
      </w:tr>
    </w:tbl>
    <w:p>
      <w:pPr>
        <w:keepNext/>
        <w:spacing w:before="320" w:after="80"/>
      </w:pPr>
      <w:r>
        <w:rPr>
          <w:b/>
          <w:color w:val="1E3A8A"/>
          <w:sz w:val="32"/>
        </w:rPr>
        <w:t>1. Convenciones Generales de API y Arquitectura</w:t>
      </w:r>
    </w:p>
    <w:p>
      <w:pPr>
        <w:spacing w:after="120" w:line="276" w:lineRule="auto"/>
      </w:pPr>
      <w:r>
        <w:rPr>
          <w:sz w:val="22"/>
        </w:rPr>
        <w:t>En cumplimiento de los principios arquitectónicos de la Solemne 02 (Pág. 12), cada microservicio opera de forma desacoplada y se comunica exclusivamente mediante llamadas HTTP/REST documentadas, sin compartir conexiones directas a bases de datos ajenas (CC-05).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Autenticación y Autorización (CC-01 y CC-02): </w:t>
      </w:r>
      <w:r>
        <w:rPr>
          <w:sz w:val="22"/>
        </w:rPr>
        <w:t>Las operaciones protegidas exigen un token JWT en el encabezado 'Authorization: Bearer &lt;token&gt;'. El rol (Cliente/Admin) se verifica en backend en cada petición; no se confía en parámetros enviados por el navegador (RF-10).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Manejo de Errores Estructurado (CC-03): </w:t>
      </w:r>
      <w:r>
        <w:rPr>
          <w:sz w:val="22"/>
        </w:rPr>
        <w:t>Toda operación rechazada devuelve un código de estado HTTP estándar (400, 401, 403, 404, 409) acompañado de un cuerpo JSON que identifica exactamente los campos afectados y la causa del fallo.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Representación Monetaria y Moneda (CC-06): </w:t>
      </w:r>
      <w:r>
        <w:rPr>
          <w:sz w:val="22"/>
        </w:rPr>
        <w:t>Todos los precios e importes se representan en Pesos Chilenos (CLP) como enteros positivos o decimales exactos calculados en servidor.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2. Contratos del Servicio de Gestión (Puerto 8001 / PostgreSQL)</w:t>
      </w:r>
    </w:p>
    <w:p>
      <w:pPr>
        <w:spacing w:after="120" w:line="276" w:lineRule="auto"/>
      </w:pPr>
      <w:r>
        <w:rPr>
          <w:sz w:val="22"/>
        </w:rPr>
        <w:t>Este servicio administra la identidad de usuarios, autenticación, control de acceso, contenidos dinámicos del CMS y mensajes de contacto.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15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30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Ruta (Endpoint)</w:t>
            </w:r>
          </w:p>
        </w:tc>
        <w:tc>
          <w:tcPr>
            <w:tcW w:type="dxa" w:w="1296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Permiso</w:t>
            </w:r>
          </w:p>
        </w:tc>
        <w:tc>
          <w:tcPr>
            <w:tcW w:type="dxa" w:w="86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RF</w:t>
            </w:r>
          </w:p>
        </w:tc>
        <w:tc>
          <w:tcPr>
            <w:tcW w:type="dxa" w:w="230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Descripción / Payload Clave</w:t>
            </w:r>
          </w:p>
        </w:tc>
        <w:tc>
          <w:tcPr>
            <w:tcW w:type="dxa" w:w="1440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Respuestas HTTP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/api/auth/register/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RF-07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Body: email, password, nombre, apellido. Crea solo rol CLIENTE. Email único normalizado.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201 Created</w:t>
              <w:br/>
              <w:t>400 Bad Request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/api/auth/login/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RF-08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Body: email, password. Valida estado activo. Retorna access_token, rol y ruta de redirección.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401 Unauthorized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/api/auth/logout/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Autenticado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RF-09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Invalida credenciales activas del token/sesión.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401 Unauthorized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/api/users/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RF-13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Lista paginada de usuarios con roles y estados (Activo, Bloqueado, Pendiente).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403 Forbidden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/api/users/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RF-11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Body: email, nombre, apellido, rol (CLIENTE/ADMIN). Cuenta pendiente con token de activación de 24h.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201 Created</w:t>
              <w:br/>
              <w:t>400 Bad Request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PATCH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/api/users/{id}/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RF-13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Body: nombre, apellido, email. Modifica datos de otros usuarios. Prohíbe auto-edición.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400 / 403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/api/users/{id}/block/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RF-14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Bloquea cuenta. Protegido contra auto-bloqueo y bloqueo del último administrador activo.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403 / 409 Conflict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/api/users/{id}/unblock/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RF-15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Restaura estado activo a cuenta bloqueada sin alterar su rol ni contraseña.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404 Not Found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/api/cms/content/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RF-01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Retorna bloques de texto, banners e imágenes de inicio, quiénes somos y contacto.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PUT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/api/cms/content/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RF-02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Body: bloques modificados. Actualiza CMS sin cambiar código ni redesplegar.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400 / 403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/api/cms/theme/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RF-04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Retorna el identificador del tema activo (1 de los 4 temas aprobados).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PUT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/api/cms/theme/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RF-04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Body: { tema_id: 'dark-glass' }. Persiste selección en PostgreSQL y aplica a tienda pública.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400 Bad Request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/api/contact/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RF-05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Body: nombre (2-100), email, mensaje (10-2000). Almacena mensaje y confirma recepción.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201 Created</w:t>
              <w:br/>
              <w:t>400 Bad Request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/api/contact/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RF-06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Listado y detalle de mensajes recibidos con fecha y remitente.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403 Forbidden</w:t>
            </w:r>
          </w:p>
        </w:tc>
      </w:tr>
    </w:tbl>
    <w:p>
      <w:pPr>
        <w:keepNext/>
        <w:spacing w:before="320" w:after="80"/>
      </w:pPr>
      <w:r>
        <w:rPr>
          <w:b/>
          <w:color w:val="1E3A8A"/>
          <w:sz w:val="32"/>
        </w:rPr>
        <w:t>3. Contratos del Servicio de Catálogo e Inventario (Puerto 8002 / MongoDB)</w:t>
      </w:r>
    </w:p>
    <w:p>
      <w:pPr>
        <w:spacing w:after="120" w:line="276" w:lineRule="auto"/>
      </w:pPr>
      <w:r>
        <w:rPr>
          <w:sz w:val="22"/>
        </w:rPr>
        <w:t>Administra el catálogo de tenis de mesa, galería de imágenes, existencias físicas y reservas atómicas de compra en MongoDB.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15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44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Ruta (Endpoint)</w:t>
            </w:r>
          </w:p>
        </w:tc>
        <w:tc>
          <w:tcPr>
            <w:tcW w:type="dxa" w:w="1296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Permiso</w:t>
            </w:r>
          </w:p>
        </w:tc>
        <w:tc>
          <w:tcPr>
            <w:tcW w:type="dxa" w:w="86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RF</w:t>
            </w:r>
          </w:p>
        </w:tc>
        <w:tc>
          <w:tcPr>
            <w:tcW w:type="dxa" w:w="2160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Descripción / Payload Clave</w:t>
            </w:r>
          </w:p>
        </w:tc>
        <w:tc>
          <w:tcPr>
            <w:tcW w:type="dxa" w:w="1440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Respuestas HTTP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/api/productos/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RF-20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Catálogo paginado (máx 50 productos, RNF-03). Filtros: categoria, precio_min, precio_max.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/api/productos/{id}/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RF-21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Detalle técnico, stock disponible (físico - reservado) y galería de 4 a 6 imágenes obligatorias.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404 Not Found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/api/productos/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RF-16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Body: nombre, descripcion, precio (CLP), stock_fisico, 4-6 URLs de imágenes y atributos técnicos.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201 Created</w:t>
              <w:br/>
              <w:t>400 Bad Request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PUT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/api/productos/{id}/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RF-17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Modifica datos e imágenes. Inmutable el ID y no altera snapshots de órdenes previas.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400 / 404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PATCH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/api/productos/{id}/deactivate/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RF-18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Marca producto inactivo para excluirlo del catálogo público sin destruir historial.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404 Not Found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/api/productos/{id}/stock-adjust/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RF-19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Body: nuevo_stock. Ajusta stock físico; prohíbe dejarlo menor al reservado. Registro de auditoría.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400 / 409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/api/inventory/reserve/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Servicio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RF-29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Body: orden_id, lineas: [{producto_id, cantidad}]. Operación atómica indivisible con TTL 15 min.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 (Reservado)</w:t>
              <w:br/>
              <w:t>409 Out of stock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/api/inventory/release/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Servicio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RF-30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Body: orden_id. Libera unidades reservadas ante pago rechazado o expiración de TTL.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404 Not Found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/api/inventory/consolidate/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Servicio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RF-33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Body: orden_id. Disminuye stock físico y reservado tras confirmación de pago aprobado. Idempotente.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409 Conflict</w:t>
            </w:r>
          </w:p>
        </w:tc>
      </w:tr>
    </w:tbl>
    <w:p>
      <w:pPr>
        <w:keepNext/>
        <w:spacing w:before="320" w:after="80"/>
      </w:pPr>
      <w:r>
        <w:rPr>
          <w:b/>
          <w:color w:val="1E3A8A"/>
          <w:sz w:val="32"/>
        </w:rPr>
        <w:t>4. Contratos del Servicio de Comercio (Puerto 8003 / PostgreSQL)</w:t>
      </w:r>
    </w:p>
    <w:p>
      <w:pPr>
        <w:spacing w:after="120" w:line="276" w:lineRule="auto"/>
      </w:pPr>
      <w:r>
        <w:rPr>
          <w:sz w:val="22"/>
        </w:rPr>
        <w:t>Administra carritos autenticados, snapshot histórico de órdenes, pagos en sandbox con Transbank Webpay Plus y conciliación.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15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44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Ruta (Endpoint)</w:t>
            </w:r>
          </w:p>
        </w:tc>
        <w:tc>
          <w:tcPr>
            <w:tcW w:type="dxa" w:w="1296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Permiso</w:t>
            </w:r>
          </w:p>
        </w:tc>
        <w:tc>
          <w:tcPr>
            <w:tcW w:type="dxa" w:w="86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RF</w:t>
            </w:r>
          </w:p>
        </w:tc>
        <w:tc>
          <w:tcPr>
            <w:tcW w:type="dxa" w:w="2160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Descripción / Payload Clave</w:t>
            </w:r>
          </w:p>
        </w:tc>
        <w:tc>
          <w:tcPr>
            <w:tcW w:type="dxa" w:w="1440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Respuestas HTTP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/api/cart/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RF-25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Consulta carrito del cliente autenticado con importes exactos calculados por el backend (CC-06).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401 Unauthorized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/api/cart/items/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RF-22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Body: producto_id, cantidad. Si ya existe, actualiza cantidad en la misma línea.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400 Bad Request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PATCH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/api/cart/items/{id}/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RF-23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Body: cantidad. Modifica cantidad entera positiva y recalcula subtotales.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400 Bad Request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DELETE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/api/cart/items/{id}/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RF-24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Elimina producto de la línea del carrito.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404 Not Found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/api/cart/merge/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RF-26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Body: lineas_anonimas. Combina carrito local del visitante con el del usuario tras login.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400 Bad Request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/api/orders/checkout/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RF-27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Inicia checkout. Valida cliente activo, stock y crea orden PENDIENTE_PAGO con snapshot histórico.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201 Created</w:t>
              <w:br/>
              <w:t>400 / 409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/api/payments/init/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RF-31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Body: orden_id. Crea transacción en Transbank Webpay Plus Integración. Retorna token_ws y url_pago.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400 / 409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/api/payments/confirm/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Servicio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RF-32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Body: token_ws. Ejecuta commit() con Transbank, verifica monto/moneda y pasa orden a CONFIRMADA (RF-34).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 (Confirmada)</w:t>
              <w:br/>
              <w:t>400 Rechazada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/api/orders/{id}/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RF-35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Resumen de orden. Verifica que el cliente sea el propietario de la orden (CC-04 / RNF-11).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403 / 404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/api/orders/{id}/reconcile/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RF-38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Consulta Transbank e inventario para resolver órdenes en estado CONFIRMACION_PENDIENTE.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200 OK</w:t>
              <w:br/>
              <w:t>403 Forbidden</w:t>
            </w:r>
          </w:p>
        </w:tc>
      </w:tr>
    </w:tbl>
    <w:p>
      <w:pPr>
        <w:keepNext/>
        <w:spacing w:before="320" w:after="80"/>
      </w:pPr>
      <w:r>
        <w:rPr>
          <w:b/>
          <w:color w:val="1E3A8A"/>
          <w:sz w:val="32"/>
        </w:rPr>
        <w:t>5. Formato Estándar de Errores y Validación (CC-03)</w:t>
      </w:r>
    </w:p>
    <w:p>
      <w:pPr>
        <w:spacing w:after="120" w:line="276" w:lineRule="auto"/>
      </w:pPr>
      <w:r>
        <w:rPr>
          <w:sz w:val="22"/>
        </w:rPr>
        <w:t>Para asegurar un tratamiento de errores unificado en el frontend de React, todas las respuestas con código 4xx o 5xx siguen esta estructura JSON canónica: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Ejemplo de Error de Validación (HTTP 400 Bad Request): </w:t>
      </w:r>
      <w:r>
        <w:rPr>
          <w:sz w:val="22"/>
        </w:rPr>
        <w:t>{</w:t>
        <w:br/>
        <w:t xml:space="preserve">  "status": "error",</w:t>
        <w:br/>
        <w:t xml:space="preserve">  "error_code": "VALIDATION_ERROR",</w:t>
        <w:br/>
        <w:t xml:space="preserve">  "message": "Los datos enviados son inválidos.",</w:t>
        <w:br/>
        <w:t xml:space="preserve">  "fields": {</w:t>
        <w:br/>
        <w:t xml:space="preserve">    "precio": ["El precio debe ser un número positivo en CLP."],</w:t>
        <w:br/>
        <w:t xml:space="preserve">    "imagenes": ["El producto debe contener entre 4 y 6 imágenes válidas."]</w:t>
        <w:br/>
        <w:t xml:space="preserve">  }</w:t>
        <w:br/>
        <w:t>}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Ejemplo de Conflicto de Concurrencia / Falta de Stock (HTTP 409 Conflict): </w:t>
      </w:r>
      <w:r>
        <w:rPr>
          <w:sz w:val="22"/>
        </w:rPr>
        <w:t>{</w:t>
        <w:br/>
        <w:t xml:space="preserve">  "status": "error",</w:t>
        <w:br/>
        <w:t xml:space="preserve">  "error_code": "INSUFFICIENT_STOCK",</w:t>
        <w:br/>
        <w:t xml:space="preserve">  "message": "No hay disponibilidad suficiente para reservar el producto Madero Carbon Offensive.",</w:t>
        <w:br/>
        <w:t xml:space="preserve">  "producto_id": "65f2a1b9c8...",</w:t>
        <w:br/>
        <w:t xml:space="preserve">  "stock_disponible": 0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