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48"/>
        </w:rPr>
        <w:t>SolNaciente Table Tennis</w:t>
      </w:r>
    </w:p>
    <w:p>
      <w:pPr>
        <w:spacing w:after="280"/>
        <w:jc w:val="center"/>
      </w:pPr>
      <w:r>
        <w:rPr>
          <w:color w:val="475569"/>
          <w:sz w:val="23"/>
        </w:rPr>
        <w:t>Memoria Técnica y Diagramas de Arquitectura de Microservicios</w:t>
        <w:br/>
        <w:t>Solemne 02 — Desarrollo de Aplicaciones Web | Evidencia Hito 1 (Arquitectura - 25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Actividad: </w:t>
            </w:r>
            <w:r>
              <w:t>SCRUM-18 (Diagrama de Arquitectura)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Patrón Arquitectónico: </w:t>
            </w:r>
            <w:r>
              <w:t>Microservicios Desacoplados (C4 Level 2)</w:t>
            </w:r>
          </w:p>
        </w:tc>
      </w:tr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Persistencia Políglota: </w:t>
            </w:r>
            <w:r>
              <w:t>PostgreSQL 16 (Relacional) + MongoDB 7.0 (ACID)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Evaluación Hito 1: </w:t>
            </w:r>
            <w:r>
              <w:t>Criterio Arquitectura (25 puntos)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1. Diagrama de Contenedores y Componentes (C4 Model Level 2)</w:t>
      </w:r>
    </w:p>
    <w:p>
      <w:pPr>
        <w:spacing w:after="120" w:line="276" w:lineRule="auto"/>
      </w:pPr>
      <w:r>
        <w:rPr>
          <w:sz w:val="22"/>
        </w:rPr>
        <w:t>La arquitectura del sistema SolNaciente ha sido estructurada siguiendo el modelo C4 a nivel de contenedores. Se descarta un enfoque monolítico para cumplir estrictamente la directriz del enunciado: 'Un único proceso Django con varias aplicaciones no demuestra microservicios. Procesos ejecutables y desplegables por separado, responsabilidades delimitadas y APIs documentadas' (Pág. 12).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5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Figura 1: Topología de microservicios, contratos REST, persistencia políglota y pasarela de pago en SolNaciente.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2. Delimitación de Microservicios y Propiedad Estricta de Datos (CC-05)</w:t>
      </w:r>
    </w:p>
    <w:p>
      <w:pPr>
        <w:spacing w:after="120" w:line="276" w:lineRule="auto"/>
      </w:pPr>
      <w:r>
        <w:rPr>
          <w:sz w:val="22"/>
        </w:rPr>
        <w:t>Cada microservicio posee propiedad exclusiva sobre su almacén de persistencia. Queda expresamente prohibido que un microservicio consulte tablas o colecciones de otro servicio sin pasar por su interfaz de API REST: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Microservicio</w:t>
            </w:r>
          </w:p>
        </w:tc>
        <w:tc>
          <w:tcPr>
            <w:tcW w:type="dxa" w:w="172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Tecnología / Puerto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Almacén de Datos</w:t>
            </w:r>
          </w:p>
        </w:tc>
        <w:tc>
          <w:tcPr>
            <w:tcW w:type="dxa" w:w="2016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Responsabilidad de Dominio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Justificación Técnica del Motor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Gestión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Django 5.1 + DRF</w:t>
              <w:br/>
              <w:t>Puerto 8001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PostgreSQL 16</w:t>
              <w:br/>
              <w:t>(ecommerce_gestion)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Identidad de usuarios, roles (Cliente/Admin), CMS dinámico, 4 temas y contacto.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PostgreSQL garantiza integridad referencial ACID estricta para cuentas y sesiones.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Catálogo e Inventario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Django 5.1 + PyMongo</w:t>
              <w:br/>
              <w:t>Puerto 8002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MongoDB 7.0</w:t>
              <w:br/>
              <w:t>(ecommerce_catalogo)</w:t>
              <w:br/>
              <w:t>Replica Set rs0</w:t>
            </w:r>
          </w:p>
        </w:tc>
        <w:tc>
          <w:tcPr>
            <w:tcW w:type="dxa" w:w="2016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Productos técnicos (maderos/gomas), 4-6 imágenes, stock físico y reservas atómicas.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Documentos JSON flexibles para fichas técnicas y operaciones atómicas ($inc, $gte) con Replica Set.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Comercio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Django 5.1 + DRF</w:t>
              <w:br/>
              <w:t>Puerto 8003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PostgreSQL 16</w:t>
              <w:br/>
              <w:t>(ecommerce_comercio)</w:t>
              <w:br/>
              <w:t>Esquema aislado</w:t>
            </w:r>
          </w:p>
        </w:tc>
        <w:tc>
          <w:tcPr>
            <w:tcW w:type="dxa" w:w="2016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Carrito persistente, snapshot inmutable de órdenes, pagos Webpay Plus y conciliación.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Integridad transaccional histórica inmutable para dinero y máquina de estados.</w:t>
            </w:r>
          </w:p>
        </w:tc>
      </w:tr>
    </w:tbl>
    <w:p>
      <w:pPr>
        <w:keepNext/>
        <w:spacing w:before="240" w:after="60"/>
      </w:pPr>
      <w:r>
        <w:rPr>
          <w:b/>
          <w:color w:val="DC2626"/>
          <w:sz w:val="26"/>
        </w:rPr>
        <w:t>2.1 Regla de Aislamiento e Interacción Inter-Servicio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Caso de Compra: </w:t>
      </w:r>
      <w:r>
        <w:rPr>
          <w:sz w:val="22"/>
        </w:rPr>
        <w:t>El Servicio de Comercio no se conecta a MongoDB para descontar inventario. En su lugar, emite una petición autenticada interna POST /api/inventory/reserve/ al Servicio de Catálogo.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Caso de Catálogo: </w:t>
      </w:r>
      <w:r>
        <w:rPr>
          <w:sz w:val="22"/>
        </w:rPr>
        <w:t>El Servicio de Catálogo no consulta la base de usuarios en PostgreSQL. La autorización se valida mediante el token criptográfico JWT emitido por Gestión.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3. Manejo de Concurrencia e Integridad Transaccional</w:t>
      </w:r>
    </w:p>
    <w:p>
      <w:pPr>
        <w:spacing w:after="120" w:line="276" w:lineRule="auto"/>
      </w:pPr>
      <w:r>
        <w:rPr>
          <w:sz w:val="22"/>
        </w:rPr>
        <w:t>El principal desafío de consistencia distribuida radica en la compra simultánea de las últimas unidades de stock (RNF-08: cero sobreventas en 20 repeticiones):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1. Invariante de Stock Físico: </w:t>
      </w:r>
      <w:r>
        <w:rPr>
          <w:sz w:val="22"/>
        </w:rPr>
        <w:t>stock_disponible = stock_fisico - stock_reservado. El stock disponible nunca puede ser inferior a 0.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2. Reserva Indivisible con TTL (RF-29): </w:t>
      </w:r>
      <w:r>
        <w:rPr>
          <w:sz w:val="22"/>
        </w:rPr>
        <w:t>Cuando un cliente avanza al checkout, el Servicio de Catálogo ejecuta una actualización condicional atómica en MongoDB. Si una sola línea del carrito no tiene existencias, toda la reserva falla y se rechaza inmediatamente.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3. Máquina de Estados de la Orden: </w:t>
      </w:r>
      <w:r>
        <w:rPr>
          <w:sz w:val="22"/>
        </w:rPr>
        <w:t>La orden transita de PENDIENTE_PAGO -&gt; CONFIRMACION_PENDIENTE -&gt; CONFIRMADA. Si el pago es rechazado o el temporizador de 15 minutos expira, el stock reservado se libera automáticamente disminuyendo únicamente stock_reservado.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4. Resiliencia, Observabilidad y Manejo de Fallos (CC-07 / RF-38)</w:t>
      </w:r>
    </w:p>
    <w:p>
      <w:pPr>
        <w:spacing w:after="120" w:line="276" w:lineRule="auto"/>
      </w:pPr>
      <w:r>
        <w:rPr>
          <w:sz w:val="22"/>
        </w:rPr>
        <w:t>En una arquitectura distribuida políglota (PostgreSQL + MongoDB + Pasarela Externa), no existe una transacción distribuida ACID de dos fases (2PC). Para abordar el problema de doble escritura (dual-write) se implementa el patrón de Compensación y Conciliación: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Fallo de Pasarela de Pago: </w:t>
      </w:r>
      <w:r>
        <w:rPr>
          <w:sz w:val="22"/>
        </w:rPr>
        <w:t>Si la pasarela no responde o rechaza el pago, el Servicio de Comercio notifica inmediatamente al Servicio de Catálogo para liberar las existencias reservadas.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Fallo de Red tras Pago Aprobado: </w:t>
      </w:r>
      <w:r>
        <w:rPr>
          <w:sz w:val="22"/>
        </w:rPr>
        <w:t>Si Transbank aprueba el pago pero la llamada a consolidar inventario sufre un timeout, la orden queda en estado CONFIRMACION_PENDIENTE (RF-34). Jamás se reporta éxito al usuario sin certeza (CC-07).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Mecanismo de Conciliación Idempotente (RF-38): </w:t>
      </w:r>
      <w:r>
        <w:rPr>
          <w:sz w:val="22"/>
        </w:rPr>
        <w:t>Un cron job y un endpoint administrativo permiten inspeccionar órdenes inconclusas, re-consultar el estado en Transbank y forzar la consolidación o devolución sin duplicar transacciones ni generar inventarios negativos.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5. Topología de Despliegue (Local vs Remoto)</w:t>
      </w:r>
    </w:p>
    <w:p>
      <w:pPr>
        <w:spacing w:after="120" w:line="276" w:lineRule="auto"/>
      </w:pPr>
      <w:r>
        <w:rPr>
          <w:sz w:val="22"/>
        </w:rPr>
        <w:t>La solución está concebida para operar de forma idéntica en desarrollo local y en producción cloud: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Despliegue Local (Desarrollo): </w:t>
      </w:r>
      <w:r>
        <w:rPr>
          <w:sz w:val="22"/>
        </w:rPr>
        <w:t>Docker Compose orquesta PostgreSQL 16 (puerto 5433) y MongoDB 7.0 Replica Set (puerto 27017). Los backends y el frontend ejecutan en la máquina del desarrollador conectados por variables de entorno.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Despliegue Remoto (Producción Cloud): </w:t>
      </w:r>
      <w:r>
        <w:rPr>
          <w:sz w:val="22"/>
        </w:rPr>
        <w:t>Frontend en Vercel con CDN global y HTTPS; Microservicios en Render con procesos web independientes; PostgreSQL en Neon Serverless; y MongoDB en MongoDB Atlas M0 con Replica Set de alta disponibilidad.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