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E3A8A"/>
          <w:sz w:val="48"/>
        </w:rPr>
        <w:t>SolNaciente Table Tennis</w:t>
      </w:r>
    </w:p>
    <w:p>
      <w:pPr>
        <w:spacing w:after="280"/>
        <w:jc w:val="center"/>
      </w:pPr>
      <w:r>
        <w:rPr>
          <w:color w:val="475569"/>
          <w:sz w:val="23"/>
        </w:rPr>
        <w:t>Diccionario Técnico y Especificación de Modelos Iniciales de Datos</w:t>
        <w:br/>
        <w:t>Solemne 02 — Desarrollo de Aplicaciones Web | Evidencia Hito 1 (Prototipo Técnico - 25 pts)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Actividad: </w:t>
            </w:r>
            <w:r>
              <w:t>SCRUM-19 (Modelos Iniciales)</w:t>
            </w:r>
          </w:p>
        </w:tc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Estrategia de Persistencia: </w:t>
            </w:r>
            <w:r>
              <w:t>Políglota (PostgreSQL 16 + MongoDB 7.0)</w:t>
            </w:r>
          </w:p>
        </w:tc>
      </w:tr>
      <w:tr>
        <w:trPr>
          <w:cantSplit/>
        </w:trPr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Modelos Relacionales: </w:t>
            </w:r>
            <w:r>
              <w:t>Gestión (Usuarios/CMS) y Comercio (Órdenes/Pagos)</w:t>
            </w:r>
          </w:p>
        </w:tc>
        <w:tc>
          <w:tcPr>
            <w:tcW w:type="dxa" w:w="4680"/>
            <w:shd w:fill="F1F5F9"/>
          </w:tcPr>
          <w:p>
            <w:pPr>
              <w:spacing w:after="40" w:before="40"/>
            </w:pPr>
            <w:r>
              <w:rPr>
                <w:b/>
              </w:rPr>
              <w:t xml:space="preserve">Colecciones NoSQL: </w:t>
            </w:r>
            <w:r>
              <w:t>Catálogo e Inventario (Productos/Stock)</w:t>
            </w:r>
          </w:p>
        </w:tc>
      </w:tr>
    </w:tbl>
    <w:p>
      <w:pPr>
        <w:keepNext/>
        <w:spacing w:before="320" w:after="80"/>
      </w:pPr>
      <w:r>
        <w:rPr>
          <w:b/>
          <w:color w:val="1E3A8A"/>
          <w:sz w:val="32"/>
        </w:rPr>
        <w:t>1. Modelos Relacionales del Servicio de Gestión (PostgreSQL: ecommerce_gestion)</w:t>
      </w:r>
    </w:p>
    <w:p>
      <w:pPr>
        <w:spacing w:after="120" w:line="276" w:lineRule="auto"/>
      </w:pPr>
      <w:r>
        <w:rPr>
          <w:sz w:val="22"/>
        </w:rPr>
        <w:t>Administra las identidades de usuario, autenticación por roles, activación de cuentas, contenidos del CMS y mensajes de contacto.</w:t>
      </w:r>
    </w:p>
    <w:p>
      <w:pPr>
        <w:keepNext/>
        <w:spacing w:before="240" w:after="60"/>
      </w:pPr>
      <w:r>
        <w:rPr>
          <w:b/>
          <w:color w:val="DC2626"/>
          <w:sz w:val="26"/>
        </w:rPr>
        <w:t>1.1 Modelo: Usuario (gestion_usuario)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728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Tipo SQL / Django</w:t>
            </w:r>
          </w:p>
        </w:tc>
        <w:tc>
          <w:tcPr>
            <w:tcW w:type="dxa" w:w="86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230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Restricción / Validación</w:t>
            </w:r>
          </w:p>
        </w:tc>
        <w:tc>
          <w:tcPr>
            <w:tcW w:type="dxa" w:w="259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Descripción y Regla de Negocio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BigAutoField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Primary Key, Auto-increment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Identificador único inmutable.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EmailField(255)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Unique, db_index=True, Lowercase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Identificador de inicio de sesión. Normalizado (RF-07).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password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CharField(128)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PBKDF2/Argon2 Hasheada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Contraseña cifrada. Prohibido texto plano (RNF-12).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CharField(100)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2-100 caracteres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Nombre de pila del usuario.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apellido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CharField(100)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2-100 caracteres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Apellido paterno/materno.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CharField(20)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Choices: CLIENTE, ADMIN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RB-07: Registro público solo crea CLIENTE.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CharField(20)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Choices: ACTIVO, BLOQUEADO, PENDIENTE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RF-14/15: Bloqueo impide iniciar sesión o usar tokens.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token_activacion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UUIDField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Default: uuid4, unique=True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RF-11: Enlace seguro de activación de 24 horas.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token_expira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DateTimeField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24 horas desde emisión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Fecha límite para activar y fijar contraseña.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creado_en</w:t>
            </w:r>
          </w:p>
        </w:tc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DateTimeField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auto_now_add=True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Fecha y hora de registro.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actualizado_en</w:t>
            </w:r>
          </w:p>
        </w:tc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DateTimeField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auto_now=True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Última fecha de modificación.</w:t>
            </w:r>
          </w:p>
        </w:tc>
      </w:tr>
    </w:tbl>
    <w:p>
      <w:pPr>
        <w:keepNext/>
        <w:spacing w:before="240" w:after="60"/>
      </w:pPr>
      <w:r>
        <w:rPr>
          <w:b/>
          <w:color w:val="DC2626"/>
          <w:sz w:val="26"/>
        </w:rPr>
        <w:t>1.2 Modelo: ContenidoCMS y ConfiguracionSitio</w:t>
      </w:r>
    </w:p>
    <w:p>
      <w:pPr>
        <w:spacing w:after="120" w:line="276" w:lineRule="auto"/>
      </w:pPr>
      <w:r>
        <w:rPr>
          <w:sz w:val="22"/>
        </w:rPr>
        <w:t>Permite modificar textos, banners y temas desde el panel de administración sin cambiar código (RF-02, RF-03, RF-04):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gestion_contenido_cms: </w:t>
      </w:r>
      <w:r>
        <w:rPr>
          <w:sz w:val="22"/>
        </w:rPr>
        <w:t>Campos: seccion (PK: inicio_hero, quienes_somos, contacto), titulo, subtitulo, cuerpo_texto, banner_url, boton_texto, boton_enlace, actualizado_en.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gestion_configuracion_sitio: </w:t>
      </w:r>
      <w:r>
        <w:rPr>
          <w:sz w:val="22"/>
        </w:rPr>
        <w:t>Campos: clave (PK: 'tema_global'), valor ('dark-glass', 'sol-naciente', 'madera-carbono', 'pelota-blanca'), actualizado_en. RB-10: Aplica de forma consistente a toda la tienda.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gestion_mensaje_contacto: </w:t>
      </w:r>
      <w:r>
        <w:rPr>
          <w:sz w:val="22"/>
        </w:rPr>
        <w:t>Campos: id, nombre (2-100 car.), email, mensaje (10-2000 car.), leido (bool), fecha_recepcion (auto_now_add). Cumple RF-05 y RF-06.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2. Esquema Documental de Catálogo e Inventario (MongoDB: ecommerce_catalogo)</w:t>
      </w:r>
    </w:p>
    <w:p>
      <w:pPr>
        <w:spacing w:after="120" w:line="276" w:lineRule="auto"/>
      </w:pPr>
      <w:r>
        <w:rPr>
          <w:sz w:val="22"/>
        </w:rPr>
        <w:t>Administra el catálogo técnico de tenis de mesa, galería de imágenes y existencias físicas. Cumple punto por punto la especificación de la página 12 del enunciado:</w:t>
      </w:r>
    </w:p>
    <w:p>
      <w:pPr>
        <w:keepNext/>
        <w:spacing w:before="240" w:after="60"/>
      </w:pPr>
      <w:r>
        <w:rPr>
          <w:b/>
          <w:color w:val="DC2626"/>
          <w:sz w:val="26"/>
        </w:rPr>
        <w:t>2.1 Colección: productos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Campo Mongo</w:t>
            </w:r>
          </w:p>
        </w:tc>
        <w:tc>
          <w:tcPr>
            <w:tcW w:type="dxa" w:w="158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Tipo BSON</w:t>
            </w:r>
          </w:p>
        </w:tc>
        <w:tc>
          <w:tcPr>
            <w:tcW w:type="dxa" w:w="1008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  <w:tc>
          <w:tcPr>
            <w:tcW w:type="dxa" w:w="230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Validación / Restricción</w:t>
            </w:r>
          </w:p>
        </w:tc>
        <w:tc>
          <w:tcPr>
            <w:tcW w:type="dxa" w:w="259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Descripción de Dominio Tenis de Mesa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_id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ObjectId / UUID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Único e inmutable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Identificador único de catálogo.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String</w:t>
            </w:r>
          </w:p>
        </w:tc>
        <w:tc>
          <w:tcPr>
            <w:tcW w:type="dxa" w:w="100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Texto no vacío (2-200 car.)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Ej. 'Madero Butterfly Viscaria ALC'.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descripcion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String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Texto no vacío (10-2000 car.)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Ficha técnica de composición y tacto.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String</w:t>
            </w:r>
          </w:p>
        </w:tc>
        <w:tc>
          <w:tcPr>
            <w:tcW w:type="dxa" w:w="100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Enum: maderos, gomas, pelotas, zapatillas, mesas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Una de las 5 categorías oficiales aprobadas.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precio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Int64 / Decimal128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Entero exacto positivo &gt; 0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Precio de venta expresado en Pesos Chilenos (CLP).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moneda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String</w:t>
            </w:r>
          </w:p>
        </w:tc>
        <w:tc>
          <w:tcPr>
            <w:tcW w:type="dxa" w:w="100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Valor constante 'CLP'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Moneda oficial aprobada (RF-25).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stock_fisico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Int32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Entero ≥ 0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Existencias físicas reales en bodega.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stock_reservado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Int32</w:t>
            </w:r>
          </w:p>
        </w:tc>
        <w:tc>
          <w:tcPr>
            <w:tcW w:type="dxa" w:w="100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Entero 0 ≤ reservado ≤ stock_fisico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Unidades apartadas temporalmente por checkouts activos.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imagenes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Array[Object]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Exactamente entre 4 y 6 elementos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RB-05 / RF-21: [{ url: String, alt_text: String }].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atributos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Object</w:t>
            </w:r>
          </w:p>
        </w:tc>
        <w:tc>
          <w:tcPr>
            <w:tcW w:type="dxa" w:w="100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Documento embebido técnico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Maderos: { capas, mango }; Gomas: { esponja, dureza }.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activo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Boolean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Default: True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RF-18: Si es False, se excluye del catálogo público.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Int32</w:t>
            </w:r>
          </w:p>
        </w:tc>
        <w:tc>
          <w:tcPr>
            <w:tcW w:type="dxa" w:w="100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Default: 1, incremento en update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Control de concurrencia optimista (Optimistic Lock).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creado_en</w:t>
            </w:r>
          </w:p>
        </w:tc>
        <w:tc>
          <w:tcPr>
            <w:tcW w:type="dxa" w:w="158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Date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Fecha de alta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Timestamp de registro en MongoDB.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actualizado_en</w:t>
            </w:r>
          </w:p>
        </w:tc>
        <w:tc>
          <w:tcPr>
            <w:tcW w:type="dxa" w:w="158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Date</w:t>
            </w:r>
          </w:p>
        </w:tc>
        <w:tc>
          <w:tcPr>
            <w:tcW w:type="dxa" w:w="100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30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Fecha de último cambio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Timestamp de última edición o ajuste de existencias.</w:t>
            </w:r>
          </w:p>
        </w:tc>
      </w:tr>
    </w:tbl>
    <w:p>
      <w:pPr>
        <w:spacing w:after="120" w:line="276" w:lineRule="auto"/>
      </w:pPr>
      <w:r>
        <w:rPr>
          <w:b/>
          <w:sz w:val="22"/>
        </w:rPr>
        <w:t xml:space="preserve">Regla Crítica: </w:t>
      </w:r>
      <w:r>
        <w:rPr>
          <w:sz w:val="22"/>
        </w:rPr>
        <w:t>Invariante de Inventario (Pág. 13):</w:t>
      </w:r>
    </w:p>
    <w:p>
      <w:pPr>
        <w:spacing w:after="120" w:line="276" w:lineRule="auto"/>
      </w:pPr>
      <w:r>
        <w:rPr>
          <w:sz w:val="22"/>
        </w:rPr>
        <w:t>stock_disponible = stock_fisico - stock_reservado. El stock disponible jamás puede ser negativo. Al reservar, stock_reservado aumenta y físico no varía. Al confirmar pago, disminuyen físico y reservado en igual proporción (RF-33). Al cancelar o expirar, disminuye únicamente el reservado (RF-30).</w:t>
      </w:r>
    </w:p>
    <w:p>
      <w:pPr>
        <w:keepNext/>
        <w:spacing w:before="240" w:after="60"/>
      </w:pPr>
      <w:r>
        <w:rPr>
          <w:b/>
          <w:color w:val="DC2626"/>
          <w:sz w:val="26"/>
        </w:rPr>
        <w:t>2.2 Colección: movimientos_inventario (Auditoría RF-19)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Esquema de Auditoría: </w:t>
      </w:r>
      <w:r>
        <w:rPr>
          <w:sz w:val="22"/>
        </w:rPr>
        <w:t>{ _id, producto_id, tipo: ('AJUSTE_ADMIN' | 'RESERVA_15MIN' | 'LIBERACION' | 'CONSOLIDACION_PAGO'), valor_anterior: int, valor_nuevo: int, admin_id: String, orden_id: String, fecha: Date }.</w:t>
      </w:r>
    </w:p>
    <w:p>
      <w:pPr>
        <w:keepNext/>
        <w:spacing w:before="320" w:after="80"/>
      </w:pPr>
      <w:r>
        <w:rPr>
          <w:b/>
          <w:color w:val="1E3A8A"/>
          <w:sz w:val="32"/>
        </w:rPr>
        <w:t>3. Modelos Transaccionales del Servicio de Comercio (PostgreSQL: ecommerce_comercio)</w:t>
      </w:r>
    </w:p>
    <w:p>
      <w:pPr>
        <w:spacing w:after="120" w:line="276" w:lineRule="auto"/>
      </w:pPr>
      <w:r>
        <w:rPr>
          <w:sz w:val="22"/>
        </w:rPr>
        <w:t>Gestiona carritos de compra, órdenes históricas inmutables (CC-08) y transacciones con la pasarela de pago Transbank.</w:t>
      </w:r>
    </w:p>
    <w:p>
      <w:pPr>
        <w:keepNext/>
        <w:spacing w:before="240" w:after="60"/>
      </w:pPr>
      <w:r>
        <w:rPr>
          <w:b/>
          <w:color w:val="DC2626"/>
          <w:sz w:val="26"/>
        </w:rPr>
        <w:t>3.1 Modelo: Orden (comercio_orden) — Snapshot Histórico Inmutable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728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28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Tipo SQL</w:t>
            </w:r>
          </w:p>
        </w:tc>
        <w:tc>
          <w:tcPr>
            <w:tcW w:type="dxa" w:w="864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2448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Restricción / Estado</w:t>
            </w:r>
          </w:p>
        </w:tc>
        <w:tc>
          <w:tcPr>
            <w:tcW w:type="dxa" w:w="2592"/>
            <w:vAlign w:val="center"/>
            <w:shd w:fill="1E3A8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Descripción y Regla de Negocio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UUIDField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Primary Key, default=uuid4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Identificador único universal de compra.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cliente_id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BigIntegerField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db_index=True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ID del usuario propietario (CC-04 / RNF-11).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CharField(30)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7 estados de la máquina de estados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PENDIENTE_PAGO, CONFIRMACION_PENDIENTE, CONFIRMADA, RECHAZADA, CANCELADA, VENCIDA, REVISION_REQUERIDA.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moneda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CharField(3)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Default: 'CLP'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Moneda oficial de cobro.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subtotal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BigIntegerField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Entero positivo exacto (CLP)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Suma de los subtotales de las líneas (RF-25).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BigIntegerField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Entero positivo exacto (CLP)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Total a cobrar en Transbank.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reserva_id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CharField(64)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ID de reserva en MongoDB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Identificador para conciliar con el Servicio de Catálogo.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fecha_creacion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DateTimeField</w:t>
            </w:r>
          </w:p>
        </w:tc>
        <w:tc>
          <w:tcPr>
            <w:tcW w:type="dxa" w:w="864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No</w:t>
            </w:r>
          </w:p>
        </w:tc>
        <w:tc>
          <w:tcPr>
            <w:tcW w:type="dxa" w:w="2448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auto_now_add=True</w:t>
            </w:r>
          </w:p>
        </w:tc>
        <w:tc>
          <w:tcPr>
            <w:tcW w:type="dxa" w:w="2592"/>
            <w:vAlign w:val="center"/>
            <w:shd w:fill="F1F5F9"/>
          </w:tcPr>
          <w:p>
            <w:pPr>
              <w:spacing w:before="60" w:after="60"/>
            </w:pPr>
            <w:r>
              <w:rPr>
                <w:sz w:val="18"/>
              </w:rPr>
              <w:t>Momento en que se inicia el checkout (reserva 15 min).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b/>
                <w:sz w:val="18"/>
              </w:rPr>
              <w:t>fecha_confirmacion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DateTimeField</w:t>
            </w:r>
          </w:p>
        </w:tc>
        <w:tc>
          <w:tcPr>
            <w:tcW w:type="dxa" w:w="864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Sí</w:t>
            </w:r>
          </w:p>
        </w:tc>
        <w:tc>
          <w:tcPr>
            <w:tcW w:type="dxa" w:w="2448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Seteado tras pago aprobado</w:t>
            </w:r>
          </w:p>
        </w:tc>
        <w:tc>
          <w:tcPr>
            <w:tcW w:type="dxa" w:w="2592"/>
            <w:vAlign w:val="center"/>
          </w:tcPr>
          <w:p>
            <w:pPr>
              <w:spacing w:before="60" w:after="60"/>
            </w:pPr>
            <w:r>
              <w:rPr>
                <w:sz w:val="18"/>
              </w:rPr>
              <w:t>Momento de consolidación de inventario (RF-34).</w:t>
            </w:r>
          </w:p>
        </w:tc>
      </w:tr>
    </w:tbl>
    <w:p>
      <w:pPr>
        <w:keepNext/>
        <w:spacing w:before="240" w:after="60"/>
      </w:pPr>
      <w:r>
        <w:rPr>
          <w:b/>
          <w:color w:val="DC2626"/>
          <w:sz w:val="26"/>
        </w:rPr>
        <w:t>3.2 Modelo: ItemOrden (Snapshot de Línea de Compra CC-08 / RF-28)</w:t>
      </w:r>
    </w:p>
    <w:p>
      <w:pPr>
        <w:spacing w:after="120" w:line="276" w:lineRule="auto"/>
      </w:pPr>
      <w:r>
        <w:rPr>
          <w:sz w:val="22"/>
        </w:rPr>
        <w:t>Garantiza que cambios posteriores en el catálogo de MongoDB no alteren las órdenes ya emitidas: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comercio_item_orden: </w:t>
      </w:r>
      <w:r>
        <w:rPr>
          <w:sz w:val="22"/>
        </w:rPr>
        <w:t>Campos: id, orden_id (FK), producto_id (UUID original), nombre_historico, categoria_historica, precio_unitario_historico, cantidad_comprada, subtotal_linea.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comercio_carrito y comercio_item_carrito: </w:t>
      </w:r>
      <w:r>
        <w:rPr>
          <w:sz w:val="22"/>
        </w:rPr>
        <w:t>Almacenan carritos de clientes autenticados y visitantes anónimos (session_key), permitiendo fusionar ítems al iniciar sesión (RF-26).</w:t>
      </w:r>
    </w:p>
    <w:p>
      <w:pPr>
        <w:pStyle w:val="ListBullet"/>
        <w:spacing w:before="20" w:after="60"/>
        <w:ind w:left="360"/>
      </w:pPr>
      <w:r>
        <w:rPr>
          <w:b/>
          <w:sz w:val="22"/>
        </w:rPr>
        <w:t xml:space="preserve">comercio_transaccion_pago: </w:t>
      </w:r>
      <w:r>
        <w:rPr>
          <w:sz w:val="22"/>
        </w:rPr>
        <w:t>Campos: id, orden_id (OneToOne), token_ws (Transbank), codigo_autorizacion, monto, estado_pago, respuesta_pasarela_json, fecha_transaccion.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