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bookmarkStart w:id="0" w:name="_GoBack"/>
      <w:r w:rsidRPr="00A427BF">
        <w:t>Відповідно до змісту документа, зокрема відношен</w:t>
      </w:r>
      <w:r w:rsidRPr="00A427BF">
        <w:softHyphen/>
        <w:t>ня інформації документа до особи, структури, предмета, напрямку діяльності укладача чи адресата, за ознаками і класифікації та групами розрізняють такі документи: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1.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rPr>
          <w:rStyle w:val="a3"/>
        </w:rPr>
        <w:t>За найменуванням: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t>акт, протокол, інструкція, лист  тощо.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2.За змістом і спеціалізацією: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загальні;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з адміністративних питань;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з питань планування оперативної діяльності;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з питань підготовки та розподілу кадрів;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спеціалізовані з фінансово-розрахункових і комер</w:t>
      </w:r>
      <w:r w:rsidRPr="00A427BF">
        <w:softHyphen/>
        <w:t>ційних питань, — постачально-збутові, зовнішньо</w:t>
      </w:r>
      <w:r w:rsidRPr="00A427BF">
        <w:softHyphen/>
        <w:t>торговельні тощо.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3.За призначенням: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щодо особового складу;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організаційно-розпорядчі;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кадрово-контрактові;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довідково-інформаційні;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господарсько-договірні;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обліково-фінансові.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4.За походженням: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службові (офіційні) — укладаються працівниками, які офіційно уповноважені це робити від імені уста</w:t>
      </w:r>
      <w:r w:rsidRPr="00A427BF">
        <w:softHyphen/>
        <w:t>нови, організації для вирішення службових питань;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особисті (приватні) — укладаються будь-якою осо</w:t>
      </w:r>
      <w:r w:rsidRPr="00A427BF">
        <w:softHyphen/>
        <w:t>бою для вирішення індивідуальних, власних пи</w:t>
      </w:r>
      <w:r w:rsidRPr="00A427BF">
        <w:softHyphen/>
        <w:t>тань.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5.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rPr>
          <w:rStyle w:val="a3"/>
        </w:rPr>
        <w:t>За місцем укладення: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внутрішні — мають чинність у межах установи, де їх укладено;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зовнішні — виступають чинником або результатом спілкування з іншими установами, організаціями, особами.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6.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rPr>
          <w:rStyle w:val="a3"/>
        </w:rPr>
        <w:t>За напрямком (спрямуванням):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вхідні (надходять до установи, організації, підпри</w:t>
      </w:r>
      <w:r w:rsidRPr="00A427BF">
        <w:softHyphen/>
        <w:t>ємства, фірми);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вихідні (адресовані за межі установи).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7.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rPr>
          <w:rStyle w:val="a3"/>
        </w:rPr>
        <w:t>За способом створення, структурними ознаками (формою) і ступенем стандартизації та регламентації: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стандартні, типові — укладаються на трафаретних, бланкових паперах із захисними символами в суво</w:t>
      </w:r>
      <w:r w:rsidRPr="00A427BF">
        <w:softHyphen/>
        <w:t>ро регламентованій послідовності (паспорт, свідоц</w:t>
      </w:r>
      <w:r w:rsidRPr="00A427BF">
        <w:softHyphen/>
        <w:t>тво, атестат, диплом, військовий квиток тощо);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нестандартні, нерегламентовані — в яких певна частина даних готується заздалегідь (типовий лист, довідка, перепустка, положення, інструкція тощо);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індивідуальні — укладаються за загальними прин</w:t>
      </w:r>
      <w:r w:rsidRPr="00A427BF">
        <w:softHyphen/>
        <w:t>ципами й формою, але автор довільно добирає та компонує мовні засоби залежно від конкретної си</w:t>
      </w:r>
      <w:r w:rsidRPr="00A427BF">
        <w:softHyphen/>
        <w:t>туації (автобіографія, звіт, протокол, оголошення, запрошення тощо).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8.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rPr>
          <w:rStyle w:val="a3"/>
        </w:rPr>
        <w:t>За ступенем складності: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proofErr w:type="spellStart"/>
      <w:r w:rsidRPr="00A427BF">
        <w:t>—прості</w:t>
      </w:r>
      <w:proofErr w:type="spellEnd"/>
      <w:r w:rsidRPr="00A427BF">
        <w:t xml:space="preserve"> (односкладові) — відображають одне питан</w:t>
      </w:r>
      <w:r w:rsidRPr="00A427BF">
        <w:softHyphen/>
        <w:t>ня, факт;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proofErr w:type="spellStart"/>
      <w:r w:rsidRPr="00A427BF">
        <w:t>—складні</w:t>
      </w:r>
      <w:proofErr w:type="spellEnd"/>
      <w:r w:rsidRPr="00A427BF">
        <w:t xml:space="preserve"> — відображають два й більше питань, фактів.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9.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rPr>
          <w:rStyle w:val="a3"/>
        </w:rPr>
        <w:t>За стадіями відтворення: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оригінали;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копії, витяги, дублікати.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10. За терміном виконання: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звичайні безстрокові (нетермінові) — виконуються (опрацьовуються) в порядку загальної черги;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термінові — укладаються за завчасно визначеним терміном виконання, а також телеграми, телефо</w:t>
      </w:r>
      <w:r w:rsidRPr="00A427BF">
        <w:softHyphen/>
        <w:t>нограми тощо;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дуже термінові — зі спеціальною позначкою термі</w:t>
      </w:r>
      <w:r w:rsidRPr="00A427BF">
        <w:softHyphen/>
        <w:t>ну виконання.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11</w:t>
      </w:r>
      <w:r w:rsidRPr="00A427BF">
        <w:t>.</w:t>
      </w:r>
      <w:r w:rsidRPr="00A427BF">
        <w:rPr>
          <w:rStyle w:val="apple-converted-space"/>
          <w:rFonts w:eastAsia="DejaVu Sans"/>
        </w:rPr>
        <w:t> </w:t>
      </w:r>
      <w:r w:rsidRPr="00A427BF">
        <w:rPr>
          <w:rStyle w:val="a3"/>
        </w:rPr>
        <w:t>За ступенем секретності (гласності):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звичайні (несекретні) — для загального користу</w:t>
      </w:r>
      <w:r w:rsidRPr="00A427BF">
        <w:softHyphen/>
        <w:t>вання;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для службового користування (ДСК);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lastRenderedPageBreak/>
        <w:t>— таємні (Т);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цілком таємні</w:t>
      </w:r>
      <w:r w:rsidRPr="00A427BF">
        <w:rPr>
          <w:rStyle w:val="apple-converted-space"/>
          <w:rFonts w:eastAsia="DejaVu Sans"/>
        </w:rPr>
        <w:t> </w:t>
      </w:r>
      <w:r w:rsidRPr="00A427BF">
        <w:rPr>
          <w:rStyle w:val="a3"/>
        </w:rPr>
        <w:t>(ЦТ).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12.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rPr>
          <w:rStyle w:val="a3"/>
        </w:rPr>
        <w:t>За юридичною силою: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 xml:space="preserve">— справжні — чинні, </w:t>
      </w:r>
      <w:proofErr w:type="spellStart"/>
      <w:r w:rsidRPr="00A427BF">
        <w:t>нечинні</w:t>
      </w:r>
      <w:proofErr w:type="spellEnd"/>
      <w:r w:rsidRPr="00A427BF">
        <w:t>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 xml:space="preserve">— </w:t>
      </w:r>
      <w:proofErr w:type="spellStart"/>
      <w:r w:rsidRPr="00A427BF">
        <w:t>підробні</w:t>
      </w:r>
      <w:proofErr w:type="spellEnd"/>
      <w:r w:rsidRPr="00A427BF">
        <w:t xml:space="preserve"> — фальсифікати.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13.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rPr>
          <w:rStyle w:val="a3"/>
        </w:rPr>
        <w:t>За технікою відтворення: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рукописні;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відтворені за допомогою технічних засобів.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rPr>
          <w:rStyle w:val="a3"/>
        </w:rPr>
        <w:t>14.</w:t>
      </w:r>
      <w:r w:rsidRPr="00A427BF">
        <w:rPr>
          <w:rStyle w:val="apple-converted-space"/>
          <w:rFonts w:eastAsia="DejaVu Sans"/>
          <w:b/>
          <w:bCs/>
        </w:rPr>
        <w:t> </w:t>
      </w:r>
      <w:r w:rsidRPr="00A427BF">
        <w:rPr>
          <w:rStyle w:val="a3"/>
        </w:rPr>
        <w:t>За терміном зберігання: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тимчасового зберігання (до 10 років);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тривалого зберігання (понад 10 років);</w:t>
      </w:r>
    </w:p>
    <w:p w:rsidR="00286D82" w:rsidRPr="00A427BF" w:rsidRDefault="00286D82" w:rsidP="00286D82">
      <w:pPr>
        <w:pStyle w:val="a4"/>
        <w:shd w:val="clear" w:color="auto" w:fill="FFFFFF"/>
        <w:spacing w:before="0" w:beforeAutospacing="0" w:after="0" w:afterAutospacing="0"/>
        <w:ind w:firstLine="284"/>
        <w:jc w:val="both"/>
      </w:pPr>
      <w:r w:rsidRPr="00A427BF">
        <w:t>— постійного зберігання.</w:t>
      </w:r>
    </w:p>
    <w:p w:rsidR="00286D82" w:rsidRPr="003F64E2" w:rsidRDefault="00286D82" w:rsidP="00286D82">
      <w:pPr>
        <w:rPr>
          <w:lang w:val="uk-UA"/>
        </w:rPr>
      </w:pPr>
      <w:proofErr w:type="spellStart"/>
      <w:r w:rsidRPr="00A427BF">
        <w:t>Документи</w:t>
      </w:r>
      <w:proofErr w:type="spellEnd"/>
      <w:r w:rsidRPr="00A427BF">
        <w:t xml:space="preserve"> </w:t>
      </w:r>
      <w:proofErr w:type="spellStart"/>
      <w:r w:rsidRPr="00A427BF">
        <w:t>поділяються</w:t>
      </w:r>
      <w:proofErr w:type="spellEnd"/>
      <w:r w:rsidRPr="00A427BF">
        <w:t xml:space="preserve"> за </w:t>
      </w:r>
      <w:proofErr w:type="spellStart"/>
      <w:r w:rsidRPr="00A427BF">
        <w:t>призначенням</w:t>
      </w:r>
      <w:proofErr w:type="spellEnd"/>
      <w:r w:rsidRPr="00A427BF">
        <w:t xml:space="preserve"> та </w:t>
      </w:r>
      <w:proofErr w:type="spellStart"/>
      <w:r w:rsidRPr="00A427BF">
        <w:t>найме</w:t>
      </w:r>
      <w:r w:rsidRPr="00A427BF">
        <w:softHyphen/>
        <w:t>нуванням</w:t>
      </w:r>
      <w:proofErr w:type="spellEnd"/>
      <w:r w:rsidRPr="00A427BF">
        <w:t xml:space="preserve">. </w:t>
      </w:r>
      <w:proofErr w:type="spellStart"/>
      <w:r w:rsidRPr="00A427BF">
        <w:t>Деякі</w:t>
      </w:r>
      <w:proofErr w:type="spellEnd"/>
      <w:r w:rsidRPr="00A427BF">
        <w:t xml:space="preserve"> </w:t>
      </w:r>
      <w:proofErr w:type="spellStart"/>
      <w:r w:rsidRPr="00A427BF">
        <w:t>документи</w:t>
      </w:r>
      <w:proofErr w:type="spellEnd"/>
      <w:r w:rsidRPr="00A427BF">
        <w:t xml:space="preserve"> </w:t>
      </w:r>
      <w:proofErr w:type="spellStart"/>
      <w:r w:rsidRPr="00A427BF">
        <w:t>мають</w:t>
      </w:r>
      <w:proofErr w:type="spellEnd"/>
      <w:r w:rsidRPr="00A427BF">
        <w:t xml:space="preserve"> </w:t>
      </w:r>
      <w:proofErr w:type="spellStart"/>
      <w:r w:rsidRPr="00A427BF">
        <w:t>однакову</w:t>
      </w:r>
      <w:proofErr w:type="spellEnd"/>
      <w:r w:rsidRPr="00A427BF">
        <w:t xml:space="preserve"> </w:t>
      </w:r>
      <w:proofErr w:type="spellStart"/>
      <w:r w:rsidRPr="00A427BF">
        <w:t>назву</w:t>
      </w:r>
      <w:proofErr w:type="spellEnd"/>
      <w:r w:rsidRPr="00A427BF">
        <w:t xml:space="preserve">, але </w:t>
      </w:r>
      <w:proofErr w:type="spellStart"/>
      <w:r w:rsidRPr="00A427BF">
        <w:t>виконують</w:t>
      </w:r>
      <w:proofErr w:type="spellEnd"/>
      <w:r w:rsidRPr="00A427BF">
        <w:t xml:space="preserve"> </w:t>
      </w:r>
      <w:proofErr w:type="spellStart"/>
      <w:proofErr w:type="gramStart"/>
      <w:r w:rsidRPr="00A427BF">
        <w:t>р</w:t>
      </w:r>
      <w:proofErr w:type="gramEnd"/>
      <w:r w:rsidRPr="00A427BF">
        <w:t>ізні</w:t>
      </w:r>
      <w:proofErr w:type="spellEnd"/>
      <w:r w:rsidRPr="00A427BF">
        <w:t xml:space="preserve"> </w:t>
      </w:r>
      <w:proofErr w:type="spellStart"/>
      <w:r w:rsidRPr="00A427BF">
        <w:t>функції</w:t>
      </w:r>
      <w:proofErr w:type="spellEnd"/>
      <w:r w:rsidRPr="00A427BF">
        <w:t>.</w:t>
      </w:r>
    </w:p>
    <w:bookmarkEnd w:id="0"/>
    <w:p w:rsidR="0086704E" w:rsidRPr="00286D82" w:rsidRDefault="0086704E">
      <w:pPr>
        <w:rPr>
          <w:lang w:val="uk-UA"/>
        </w:rPr>
      </w:pPr>
    </w:p>
    <w:sectPr w:rsidR="0086704E" w:rsidRPr="00286D82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DBC"/>
    <w:rsid w:val="00103DBC"/>
    <w:rsid w:val="00286D82"/>
    <w:rsid w:val="006D753F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D82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86D82"/>
    <w:rPr>
      <w:b/>
      <w:bCs/>
    </w:rPr>
  </w:style>
  <w:style w:type="paragraph" w:styleId="a4">
    <w:name w:val="Normal (Web)"/>
    <w:basedOn w:val="a"/>
    <w:uiPriority w:val="99"/>
    <w:unhideWhenUsed/>
    <w:rsid w:val="00286D82"/>
    <w:pPr>
      <w:widowControl/>
      <w:autoSpaceDE/>
      <w:autoSpaceDN/>
      <w:adjustRightInd/>
      <w:spacing w:before="100" w:beforeAutospacing="1" w:after="100" w:afterAutospacing="1"/>
      <w:jc w:val="left"/>
    </w:pPr>
    <w:rPr>
      <w:szCs w:val="24"/>
      <w:lang w:val="uk-UA" w:eastAsia="uk-UA"/>
    </w:rPr>
  </w:style>
  <w:style w:type="character" w:customStyle="1" w:styleId="apple-converted-space">
    <w:name w:val="apple-converted-space"/>
    <w:rsid w:val="0028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D82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86D82"/>
    <w:rPr>
      <w:b/>
      <w:bCs/>
    </w:rPr>
  </w:style>
  <w:style w:type="paragraph" w:styleId="a4">
    <w:name w:val="Normal (Web)"/>
    <w:basedOn w:val="a"/>
    <w:uiPriority w:val="99"/>
    <w:unhideWhenUsed/>
    <w:rsid w:val="00286D82"/>
    <w:pPr>
      <w:widowControl/>
      <w:autoSpaceDE/>
      <w:autoSpaceDN/>
      <w:adjustRightInd/>
      <w:spacing w:before="100" w:beforeAutospacing="1" w:after="100" w:afterAutospacing="1"/>
      <w:jc w:val="left"/>
    </w:pPr>
    <w:rPr>
      <w:szCs w:val="24"/>
      <w:lang w:val="uk-UA" w:eastAsia="uk-UA"/>
    </w:rPr>
  </w:style>
  <w:style w:type="character" w:customStyle="1" w:styleId="apple-converted-space">
    <w:name w:val="apple-converted-space"/>
    <w:rsid w:val="0028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2014-01-02T14:56:00Z</dcterms:created>
  <dcterms:modified xsi:type="dcterms:W3CDTF">2014-01-02T14:56:00Z</dcterms:modified>
</cp:coreProperties>
</file>